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D16" w:rsidRDefault="00B3451F" w:rsidP="00E271E2">
      <w:pPr>
        <w:spacing w:after="0" w:line="240" w:lineRule="auto"/>
        <w:jc w:val="both"/>
      </w:pPr>
      <w:r>
        <w:rPr>
          <w:noProof/>
          <w:lang w:val="en-US"/>
        </w:rPr>
        <mc:AlternateContent>
          <mc:Choice Requires="wps">
            <w:drawing>
              <wp:anchor distT="45720" distB="45720" distL="114300" distR="114300" simplePos="0" relativeHeight="251658240" behindDoc="0" locked="0" layoutInCell="1" allowOverlap="1" wp14:anchorId="6F897CEB" wp14:editId="67820C6F">
                <wp:simplePos x="0" y="0"/>
                <wp:positionH relativeFrom="column">
                  <wp:posOffset>2700655</wp:posOffset>
                </wp:positionH>
                <wp:positionV relativeFrom="paragraph">
                  <wp:posOffset>757555</wp:posOffset>
                </wp:positionV>
                <wp:extent cx="3187700" cy="3886200"/>
                <wp:effectExtent l="0" t="0" r="0" b="0"/>
                <wp:wrapSquare wrapText="bothSides"/>
                <wp:docPr id="1706495030"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Tania Mirtha Garcia Soller</w:t>
                            </w:r>
                          </w:p>
                          <w:p w:rsidR="00B3451F" w:rsidRPr="00B3451F" w:rsidRDefault="00B3451F" w:rsidP="00B3451F">
                            <w:pPr>
                              <w:spacing w:after="0" w:line="240" w:lineRule="auto"/>
                              <w:jc w:val="right"/>
                              <w:rPr>
                                <w:rFonts w:ascii="Prompt" w:hAnsi="Prompt" w:cs="Prompt"/>
                                <w:color w:val="FFFFFF" w:themeColor="background1"/>
                              </w:rPr>
                            </w:pPr>
                            <w:hyperlink r:id="rId7" w:history="1">
                              <w:r w:rsidRPr="00B3451F">
                                <w:rPr>
                                  <w:rStyle w:val="Hyperlink"/>
                                  <w:rFonts w:ascii="Prompt" w:hAnsi="Prompt" w:cs="Prompt"/>
                                  <w:color w:val="FFFFFF" w:themeColor="background1"/>
                                </w:rPr>
                                <w:t>https://orcid.org/0000-0002-6106-8936</w:t>
                              </w:r>
                            </w:hyperlink>
                            <w:r w:rsidRPr="00B3451F">
                              <w:rPr>
                                <w:rFonts w:ascii="Prompt" w:hAnsi="Prompt" w:cs="Prompt"/>
                                <w:color w:val="FFFFFF" w:themeColor="background1"/>
                              </w:rPr>
                              <w:t xml:space="preserve"> </w:t>
                            </w:r>
                          </w:p>
                          <w:p w:rsidR="00B3451F" w:rsidRPr="00B3451F" w:rsidRDefault="00B3451F" w:rsidP="00B3451F">
                            <w:pPr>
                              <w:spacing w:after="0" w:line="240" w:lineRule="auto"/>
                              <w:jc w:val="right"/>
                              <w:rPr>
                                <w:rFonts w:ascii="Prompt" w:hAnsi="Prompt" w:cs="Prompt"/>
                                <w:color w:val="63AEBD"/>
                              </w:rPr>
                            </w:pPr>
                            <w:hyperlink r:id="rId8" w:history="1">
                              <w:r w:rsidRPr="00B3451F">
                                <w:rPr>
                                  <w:rStyle w:val="Hyperlink"/>
                                  <w:rFonts w:ascii="Prompt" w:hAnsi="Prompt" w:cs="Prompt"/>
                                  <w:color w:val="FFFFFF" w:themeColor="background1"/>
                                </w:rPr>
                                <w:t>tgarciaso@ucvvirtual.edu.pe</w:t>
                              </w:r>
                            </w:hyperlink>
                            <w:r>
                              <w:rPr>
                                <w:rFonts w:ascii="Prompt" w:hAnsi="Prompt" w:cs="Prompt"/>
                                <w:color w:val="63AEBD"/>
                              </w:rPr>
                              <w:t xml:space="preserve"> </w:t>
                            </w:r>
                          </w:p>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Universidad César Vallejo</w:t>
                            </w:r>
                          </w:p>
                          <w:p w:rsidR="000529D8" w:rsidRPr="007352BA" w:rsidRDefault="00B3451F" w:rsidP="00B3451F">
                            <w:pPr>
                              <w:spacing w:after="0" w:line="240" w:lineRule="auto"/>
                              <w:jc w:val="right"/>
                              <w:rPr>
                                <w:rFonts w:ascii="Prompt" w:hAnsi="Prompt" w:cs="Prompt"/>
                                <w:color w:val="63AEBD"/>
                              </w:rPr>
                            </w:pPr>
                            <w:r w:rsidRPr="00B3451F">
                              <w:rPr>
                                <w:rFonts w:ascii="Prompt" w:hAnsi="Prompt" w:cs="Prompt"/>
                                <w:color w:val="63AEBD"/>
                              </w:rPr>
                              <w:t>Lima</w:t>
                            </w:r>
                            <w:r>
                              <w:rPr>
                                <w:rFonts w:ascii="Prompt" w:hAnsi="Prompt" w:cs="Prompt"/>
                                <w:color w:val="63AEBD"/>
                              </w:rPr>
                              <w:t xml:space="preserve"> – </w:t>
                            </w:r>
                            <w:r w:rsidRPr="00B3451F">
                              <w:rPr>
                                <w:rFonts w:ascii="Prompt" w:hAnsi="Prompt" w:cs="Prompt"/>
                                <w:color w:val="63AEBD"/>
                              </w:rPr>
                              <w:t>Perú</w:t>
                            </w:r>
                            <w:r>
                              <w:rPr>
                                <w:rFonts w:ascii="Prompt" w:hAnsi="Prompt" w:cs="Prompt"/>
                                <w:color w:val="63AEBD"/>
                              </w:rPr>
                              <w:t>.</w:t>
                            </w:r>
                          </w:p>
                          <w:p w:rsidR="000529D8" w:rsidRPr="007352BA" w:rsidRDefault="000529D8" w:rsidP="000529D8">
                            <w:pPr>
                              <w:spacing w:after="0" w:line="240" w:lineRule="auto"/>
                              <w:jc w:val="right"/>
                              <w:rPr>
                                <w:rFonts w:ascii="Prompt" w:hAnsi="Prompt" w:cs="Prompt"/>
                                <w:color w:val="FFFFFF"/>
                              </w:rPr>
                            </w:pPr>
                          </w:p>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 xml:space="preserve">Julio Cesar Sulca Rojas </w:t>
                            </w:r>
                          </w:p>
                          <w:p w:rsidR="00B3451F" w:rsidRPr="00B3451F" w:rsidRDefault="00B3451F" w:rsidP="00B3451F">
                            <w:pPr>
                              <w:spacing w:after="0" w:line="240" w:lineRule="auto"/>
                              <w:jc w:val="right"/>
                              <w:rPr>
                                <w:rFonts w:ascii="Prompt" w:hAnsi="Prompt" w:cs="Prompt"/>
                                <w:color w:val="FFFFFF" w:themeColor="background1"/>
                              </w:rPr>
                            </w:pPr>
                            <w:hyperlink r:id="rId9" w:history="1">
                              <w:r w:rsidRPr="00B3451F">
                                <w:rPr>
                                  <w:rStyle w:val="Hyperlink"/>
                                  <w:rFonts w:ascii="Prompt" w:hAnsi="Prompt" w:cs="Prompt"/>
                                  <w:color w:val="FFFFFF" w:themeColor="background1"/>
                                </w:rPr>
                                <w:t>https://orcid.org/0000-0002-1626-8090</w:t>
                              </w:r>
                            </w:hyperlink>
                            <w:r w:rsidRPr="00B3451F">
                              <w:rPr>
                                <w:rFonts w:ascii="Prompt" w:hAnsi="Prompt" w:cs="Prompt"/>
                                <w:color w:val="FFFFFF" w:themeColor="background1"/>
                              </w:rPr>
                              <w:t xml:space="preserve"> </w:t>
                            </w:r>
                          </w:p>
                          <w:p w:rsidR="00B3451F" w:rsidRPr="00B3451F" w:rsidRDefault="00B3451F" w:rsidP="00B3451F">
                            <w:pPr>
                              <w:spacing w:after="0" w:line="240" w:lineRule="auto"/>
                              <w:jc w:val="right"/>
                              <w:rPr>
                                <w:rFonts w:ascii="Prompt" w:hAnsi="Prompt" w:cs="Prompt"/>
                                <w:color w:val="FFFFFF" w:themeColor="background1"/>
                              </w:rPr>
                            </w:pPr>
                            <w:hyperlink r:id="rId10" w:history="1">
                              <w:r w:rsidRPr="00B3451F">
                                <w:rPr>
                                  <w:rStyle w:val="Hyperlink"/>
                                  <w:rFonts w:ascii="Prompt" w:hAnsi="Prompt" w:cs="Prompt"/>
                                  <w:color w:val="FFFFFF" w:themeColor="background1"/>
                                </w:rPr>
                                <w:t>cesarsulca_lara@hotmail.com</w:t>
                              </w:r>
                            </w:hyperlink>
                            <w:r w:rsidRPr="00B3451F">
                              <w:rPr>
                                <w:rFonts w:ascii="Prompt" w:hAnsi="Prompt" w:cs="Prompt"/>
                                <w:color w:val="FFFFFF" w:themeColor="background1"/>
                              </w:rPr>
                              <w:t xml:space="preserve"> </w:t>
                            </w:r>
                          </w:p>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Universidad Autónoma de Ica</w:t>
                            </w:r>
                          </w:p>
                          <w:p w:rsidR="000529D8" w:rsidRPr="007352BA" w:rsidRDefault="00B3451F" w:rsidP="00B3451F">
                            <w:pPr>
                              <w:spacing w:after="0" w:line="240" w:lineRule="auto"/>
                              <w:jc w:val="right"/>
                              <w:rPr>
                                <w:rFonts w:ascii="Prompt" w:hAnsi="Prompt" w:cs="Prompt"/>
                                <w:color w:val="63AEBD"/>
                              </w:rPr>
                            </w:pPr>
                            <w:r w:rsidRPr="00B3451F">
                              <w:rPr>
                                <w:rFonts w:ascii="Prompt" w:hAnsi="Prompt" w:cs="Prompt"/>
                                <w:color w:val="63AEBD"/>
                              </w:rPr>
                              <w:t>Ica</w:t>
                            </w:r>
                            <w:r>
                              <w:rPr>
                                <w:rFonts w:ascii="Prompt" w:hAnsi="Prompt" w:cs="Prompt"/>
                                <w:color w:val="63AEBD"/>
                              </w:rPr>
                              <w:t xml:space="preserve"> – </w:t>
                            </w:r>
                            <w:r w:rsidRPr="00B3451F">
                              <w:rPr>
                                <w:rFonts w:ascii="Prompt" w:hAnsi="Prompt" w:cs="Prompt"/>
                                <w:color w:val="63AEBD"/>
                              </w:rPr>
                              <w:t>Perú</w:t>
                            </w:r>
                            <w:r>
                              <w:rPr>
                                <w:rFonts w:ascii="Prompt" w:hAnsi="Prompt" w:cs="Prompt"/>
                                <w:color w:val="63AEBD"/>
                              </w:rPr>
                              <w:t>.</w:t>
                            </w:r>
                          </w:p>
                          <w:p w:rsidR="000529D8" w:rsidRPr="007352BA" w:rsidRDefault="000529D8" w:rsidP="000529D8">
                            <w:pPr>
                              <w:spacing w:after="0" w:line="240" w:lineRule="auto"/>
                              <w:jc w:val="right"/>
                              <w:rPr>
                                <w:rFonts w:ascii="Prompt" w:hAnsi="Prompt" w:cs="Prompt"/>
                                <w:color w:val="63AEBD"/>
                              </w:rPr>
                            </w:pPr>
                          </w:p>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Cecilia Raquel Carazas Durand</w:t>
                            </w:r>
                          </w:p>
                          <w:p w:rsidR="00B3451F" w:rsidRPr="00B3451F" w:rsidRDefault="00B3451F" w:rsidP="00B3451F">
                            <w:pPr>
                              <w:spacing w:after="0" w:line="240" w:lineRule="auto"/>
                              <w:jc w:val="right"/>
                              <w:rPr>
                                <w:rFonts w:ascii="Prompt" w:hAnsi="Prompt" w:cs="Prompt"/>
                                <w:color w:val="FFFFFF" w:themeColor="background1"/>
                              </w:rPr>
                            </w:pPr>
                            <w:r w:rsidRPr="00B3451F">
                              <w:rPr>
                                <w:rFonts w:ascii="Prompt" w:hAnsi="Prompt" w:cs="Prompt"/>
                                <w:color w:val="63AEBD"/>
                              </w:rPr>
                              <w:t xml:space="preserve"> </w:t>
                            </w:r>
                            <w:hyperlink r:id="rId11" w:history="1">
                              <w:r w:rsidRPr="00B3451F">
                                <w:rPr>
                                  <w:rStyle w:val="Hyperlink"/>
                                  <w:rFonts w:ascii="Prompt" w:hAnsi="Prompt" w:cs="Prompt"/>
                                  <w:color w:val="FFFFFF" w:themeColor="background1"/>
                                </w:rPr>
                                <w:t>https://orcid.org/0000-0001-6653-2454</w:t>
                              </w:r>
                            </w:hyperlink>
                            <w:r w:rsidRPr="00B3451F">
                              <w:rPr>
                                <w:rFonts w:ascii="Prompt" w:hAnsi="Prompt" w:cs="Prompt"/>
                                <w:color w:val="FFFFFF" w:themeColor="background1"/>
                              </w:rPr>
                              <w:t xml:space="preserve"> </w:t>
                            </w:r>
                          </w:p>
                          <w:p w:rsidR="00B3451F" w:rsidRPr="00B3451F" w:rsidRDefault="00B3451F" w:rsidP="00B3451F">
                            <w:pPr>
                              <w:spacing w:after="0" w:line="240" w:lineRule="auto"/>
                              <w:jc w:val="right"/>
                              <w:rPr>
                                <w:rFonts w:ascii="Prompt" w:hAnsi="Prompt" w:cs="Prompt"/>
                                <w:color w:val="FFFFFF" w:themeColor="background1"/>
                              </w:rPr>
                            </w:pPr>
                            <w:r w:rsidRPr="00B3451F">
                              <w:rPr>
                                <w:rFonts w:ascii="Prompt" w:hAnsi="Prompt" w:cs="Prompt"/>
                                <w:color w:val="FFFFFF" w:themeColor="background1"/>
                              </w:rPr>
                              <w:t xml:space="preserve"> </w:t>
                            </w:r>
                            <w:hyperlink r:id="rId12" w:history="1">
                              <w:r w:rsidRPr="00B3451F">
                                <w:rPr>
                                  <w:rStyle w:val="Hyperlink"/>
                                  <w:rFonts w:ascii="Prompt" w:hAnsi="Prompt" w:cs="Prompt"/>
                                  <w:color w:val="FFFFFF" w:themeColor="background1"/>
                                </w:rPr>
                                <w:t>ccarazasdu20@ucvvirtual.edu.pe</w:t>
                              </w:r>
                            </w:hyperlink>
                            <w:r w:rsidRPr="00B3451F">
                              <w:rPr>
                                <w:rFonts w:ascii="Prompt" w:hAnsi="Prompt" w:cs="Prompt"/>
                                <w:color w:val="FFFFFF" w:themeColor="background1"/>
                              </w:rPr>
                              <w:t xml:space="preserve"> </w:t>
                            </w:r>
                          </w:p>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Universidad César Vallejo</w:t>
                            </w:r>
                          </w:p>
                          <w:p w:rsidR="000529D8" w:rsidRPr="007352BA" w:rsidRDefault="00B3451F" w:rsidP="00B3451F">
                            <w:pPr>
                              <w:spacing w:after="0" w:line="240" w:lineRule="auto"/>
                              <w:jc w:val="right"/>
                              <w:rPr>
                                <w:rFonts w:ascii="Prompt" w:hAnsi="Prompt" w:cs="Prompt"/>
                                <w:color w:val="63AEBD"/>
                              </w:rPr>
                            </w:pPr>
                            <w:r>
                              <w:rPr>
                                <w:rFonts w:ascii="Prompt" w:hAnsi="Prompt" w:cs="Prompt"/>
                                <w:color w:val="63AEBD"/>
                              </w:rPr>
                              <w:t xml:space="preserve">Lima </w:t>
                            </w:r>
                            <w:r>
                              <w:rPr>
                                <w:rFonts w:ascii="Prompt" w:hAnsi="Prompt" w:cs="Prompt"/>
                                <w:color w:val="63AEBD"/>
                                <w:lang w:val="es-VE"/>
                              </w:rPr>
                              <w:t>-</w:t>
                            </w:r>
                            <w:r w:rsidRPr="00B3451F">
                              <w:rPr>
                                <w:rFonts w:ascii="Prompt" w:hAnsi="Prompt" w:cs="Prompt"/>
                                <w:color w:val="63AEBD"/>
                              </w:rPr>
                              <w:t xml:space="preserve"> Perú</w:t>
                            </w:r>
                            <w:r w:rsidR="000529D8" w:rsidRPr="007352BA">
                              <w:rPr>
                                <w:rFonts w:ascii="Prompt" w:hAnsi="Prompt" w:cs="Prompt"/>
                                <w:color w:val="63AEBD"/>
                              </w:rPr>
                              <w:t>.</w:t>
                            </w:r>
                          </w:p>
                          <w:p w:rsidR="000529D8" w:rsidRPr="007352BA" w:rsidRDefault="000529D8" w:rsidP="000529D8">
                            <w:pPr>
                              <w:spacing w:after="0" w:line="240" w:lineRule="auto"/>
                              <w:jc w:val="right"/>
                              <w:rPr>
                                <w:rFonts w:ascii="Prompt" w:hAnsi="Prompt" w:cs="Prompt"/>
                                <w:color w:val="63AEBD"/>
                              </w:rPr>
                            </w:pPr>
                          </w:p>
                          <w:p w:rsidR="000529D8" w:rsidRPr="007352BA" w:rsidRDefault="000529D8" w:rsidP="000529D8">
                            <w:pPr>
                              <w:spacing w:after="0" w:line="240" w:lineRule="auto"/>
                              <w:jc w:val="right"/>
                              <w:rPr>
                                <w:rFonts w:ascii="Prompt" w:hAnsi="Prompt" w:cs="Prompt"/>
                                <w:color w:val="63AEBD"/>
                              </w:rPr>
                            </w:pPr>
                            <w:r w:rsidRPr="007352BA">
                              <w:rPr>
                                <w:rFonts w:ascii="Prompt" w:hAnsi="Prompt" w:cs="Prompt"/>
                                <w:color w:val="63AEBD"/>
                              </w:rPr>
                              <w:t>Nombre del autor</w:t>
                            </w:r>
                          </w:p>
                          <w:p w:rsidR="000529D8" w:rsidRPr="007352BA" w:rsidRDefault="00B239A0" w:rsidP="000529D8">
                            <w:pPr>
                              <w:spacing w:after="0" w:line="240" w:lineRule="auto"/>
                              <w:jc w:val="right"/>
                              <w:rPr>
                                <w:rFonts w:ascii="Prompt" w:hAnsi="Prompt" w:cs="Prompt"/>
                                <w:color w:val="FFFFFF"/>
                              </w:rPr>
                            </w:pPr>
                            <w:hyperlink r:id="rId13" w:history="1">
                              <w:r w:rsidR="000529D8" w:rsidRPr="007352BA">
                                <w:rPr>
                                  <w:rStyle w:val="Hyperlink"/>
                                  <w:rFonts w:ascii="Prompt" w:hAnsi="Prompt" w:cs="Prompt"/>
                                  <w:color w:val="FFFFFF"/>
                                </w:rPr>
                                <w:t>https://orcid.ejemplo/1231251204123123</w:t>
                              </w:r>
                            </w:hyperlink>
                          </w:p>
                          <w:p w:rsidR="000529D8" w:rsidRPr="007352BA" w:rsidRDefault="00B239A0" w:rsidP="000529D8">
                            <w:pPr>
                              <w:spacing w:after="0" w:line="240" w:lineRule="auto"/>
                              <w:jc w:val="right"/>
                              <w:rPr>
                                <w:rFonts w:ascii="Prompt" w:hAnsi="Prompt" w:cs="Prompt"/>
                                <w:color w:val="FFFFFF"/>
                              </w:rPr>
                            </w:pPr>
                            <w:hyperlink r:id="rId14" w:history="1">
                              <w:r w:rsidR="000529D8" w:rsidRPr="007352BA">
                                <w:rPr>
                                  <w:rStyle w:val="Hyperlink"/>
                                  <w:rFonts w:ascii="Prompt" w:hAnsi="Prompt" w:cs="Prompt"/>
                                  <w:color w:val="FFFFFF"/>
                                </w:rPr>
                                <w:t>corredelautorejemplo@ejemplo.com</w:t>
                              </w:r>
                            </w:hyperlink>
                          </w:p>
                          <w:p w:rsidR="000529D8" w:rsidRPr="007352BA" w:rsidRDefault="000529D8" w:rsidP="000529D8">
                            <w:pPr>
                              <w:spacing w:after="0" w:line="240" w:lineRule="auto"/>
                              <w:jc w:val="right"/>
                              <w:rPr>
                                <w:rFonts w:ascii="Prompt" w:hAnsi="Prompt" w:cs="Prompt"/>
                                <w:color w:val="63AEBD"/>
                              </w:rPr>
                            </w:pPr>
                            <w:r w:rsidRPr="007352BA">
                              <w:rPr>
                                <w:rFonts w:ascii="Prompt" w:hAnsi="Prompt" w:cs="Prompt"/>
                                <w:color w:val="63AEBD"/>
                              </w:rPr>
                              <w:t>Institución Ejemplo del Ejemplo. País Ejemplo.</w:t>
                            </w:r>
                          </w:p>
                          <w:p w:rsidR="000529D8" w:rsidRPr="007352BA" w:rsidRDefault="000529D8" w:rsidP="000529D8">
                            <w:pPr>
                              <w:spacing w:after="0" w:line="240" w:lineRule="auto"/>
                              <w:jc w:val="right"/>
                              <w:rPr>
                                <w:rFonts w:ascii="Prompt" w:hAnsi="Prompt" w:cs="Prompt"/>
                                <w:color w:val="63AEBD"/>
                              </w:rPr>
                            </w:pPr>
                          </w:p>
                          <w:p w:rsidR="000529D8" w:rsidRPr="007352BA" w:rsidRDefault="000529D8" w:rsidP="000529D8">
                            <w:pPr>
                              <w:spacing w:after="0" w:line="240" w:lineRule="auto"/>
                              <w:jc w:val="right"/>
                              <w:rPr>
                                <w:rFonts w:ascii="Prompt" w:hAnsi="Prompt" w:cs="Prompt"/>
                                <w:color w:val="FFFFF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897CEB" id="_x0000_t202" coordsize="21600,21600" o:spt="202" path="m,l,21600r21600,l21600,xe">
                <v:stroke joinstyle="miter"/>
                <v:path gradientshapeok="t" o:connecttype="rect"/>
              </v:shapetype>
              <v:shape id="Cuadro de texto 5" o:spid="_x0000_s1026" type="#_x0000_t202" style="position:absolute;left:0;text-align:left;margin-left:212.65pt;margin-top:59.65pt;width:251pt;height:3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" filled="f" stroked="f">
                <v:textbox>
                  <w:txbxContent>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Tania Mirtha Garcia Soller</w:t>
                      </w:r>
                    </w:p>
                    <w:p w:rsidR="00B3451F" w:rsidRPr="00B3451F" w:rsidRDefault="00B3451F" w:rsidP="00B3451F">
                      <w:pPr>
                        <w:spacing w:after="0" w:line="240" w:lineRule="auto"/>
                        <w:jc w:val="right"/>
                        <w:rPr>
                          <w:rFonts w:ascii="Prompt" w:hAnsi="Prompt" w:cs="Prompt"/>
                          <w:color w:val="FFFFFF" w:themeColor="background1"/>
                        </w:rPr>
                      </w:pPr>
                      <w:hyperlink r:id="rId15" w:history="1">
                        <w:r w:rsidRPr="00B3451F">
                          <w:rPr>
                            <w:rStyle w:val="Hyperlink"/>
                            <w:rFonts w:ascii="Prompt" w:hAnsi="Prompt" w:cs="Prompt"/>
                            <w:color w:val="FFFFFF" w:themeColor="background1"/>
                          </w:rPr>
                          <w:t>https://orcid.org/0000-0002-6106-8936</w:t>
                        </w:r>
                      </w:hyperlink>
                      <w:r w:rsidRPr="00B3451F">
                        <w:rPr>
                          <w:rFonts w:ascii="Prompt" w:hAnsi="Prompt" w:cs="Prompt"/>
                          <w:color w:val="FFFFFF" w:themeColor="background1"/>
                        </w:rPr>
                        <w:t xml:space="preserve"> </w:t>
                      </w:r>
                    </w:p>
                    <w:p w:rsidR="00B3451F" w:rsidRPr="00B3451F" w:rsidRDefault="00B3451F" w:rsidP="00B3451F">
                      <w:pPr>
                        <w:spacing w:after="0" w:line="240" w:lineRule="auto"/>
                        <w:jc w:val="right"/>
                        <w:rPr>
                          <w:rFonts w:ascii="Prompt" w:hAnsi="Prompt" w:cs="Prompt"/>
                          <w:color w:val="63AEBD"/>
                        </w:rPr>
                      </w:pPr>
                      <w:hyperlink r:id="rId16" w:history="1">
                        <w:r w:rsidRPr="00B3451F">
                          <w:rPr>
                            <w:rStyle w:val="Hyperlink"/>
                            <w:rFonts w:ascii="Prompt" w:hAnsi="Prompt" w:cs="Prompt"/>
                            <w:color w:val="FFFFFF" w:themeColor="background1"/>
                          </w:rPr>
                          <w:t>tgarciaso@ucvvirtual.edu.pe</w:t>
                        </w:r>
                      </w:hyperlink>
                      <w:r>
                        <w:rPr>
                          <w:rFonts w:ascii="Prompt" w:hAnsi="Prompt" w:cs="Prompt"/>
                          <w:color w:val="63AEBD"/>
                        </w:rPr>
                        <w:t xml:space="preserve"> </w:t>
                      </w:r>
                    </w:p>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Universidad César Vallejo</w:t>
                      </w:r>
                    </w:p>
                    <w:p w:rsidR="000529D8" w:rsidRPr="007352BA" w:rsidRDefault="00B3451F" w:rsidP="00B3451F">
                      <w:pPr>
                        <w:spacing w:after="0" w:line="240" w:lineRule="auto"/>
                        <w:jc w:val="right"/>
                        <w:rPr>
                          <w:rFonts w:ascii="Prompt" w:hAnsi="Prompt" w:cs="Prompt"/>
                          <w:color w:val="63AEBD"/>
                        </w:rPr>
                      </w:pPr>
                      <w:r w:rsidRPr="00B3451F">
                        <w:rPr>
                          <w:rFonts w:ascii="Prompt" w:hAnsi="Prompt" w:cs="Prompt"/>
                          <w:color w:val="63AEBD"/>
                        </w:rPr>
                        <w:t>Lima</w:t>
                      </w:r>
                      <w:r>
                        <w:rPr>
                          <w:rFonts w:ascii="Prompt" w:hAnsi="Prompt" w:cs="Prompt"/>
                          <w:color w:val="63AEBD"/>
                        </w:rPr>
                        <w:t xml:space="preserve"> – </w:t>
                      </w:r>
                      <w:r w:rsidRPr="00B3451F">
                        <w:rPr>
                          <w:rFonts w:ascii="Prompt" w:hAnsi="Prompt" w:cs="Prompt"/>
                          <w:color w:val="63AEBD"/>
                        </w:rPr>
                        <w:t>Perú</w:t>
                      </w:r>
                      <w:r>
                        <w:rPr>
                          <w:rFonts w:ascii="Prompt" w:hAnsi="Prompt" w:cs="Prompt"/>
                          <w:color w:val="63AEBD"/>
                        </w:rPr>
                        <w:t>.</w:t>
                      </w:r>
                    </w:p>
                    <w:p w:rsidR="000529D8" w:rsidRPr="007352BA" w:rsidRDefault="000529D8" w:rsidP="000529D8">
                      <w:pPr>
                        <w:spacing w:after="0" w:line="240" w:lineRule="auto"/>
                        <w:jc w:val="right"/>
                        <w:rPr>
                          <w:rFonts w:ascii="Prompt" w:hAnsi="Prompt" w:cs="Prompt"/>
                          <w:color w:val="FFFFFF"/>
                        </w:rPr>
                      </w:pPr>
                    </w:p>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 xml:space="preserve">Julio Cesar Sulca Rojas </w:t>
                      </w:r>
                    </w:p>
                    <w:p w:rsidR="00B3451F" w:rsidRPr="00B3451F" w:rsidRDefault="00B3451F" w:rsidP="00B3451F">
                      <w:pPr>
                        <w:spacing w:after="0" w:line="240" w:lineRule="auto"/>
                        <w:jc w:val="right"/>
                        <w:rPr>
                          <w:rFonts w:ascii="Prompt" w:hAnsi="Prompt" w:cs="Prompt"/>
                          <w:color w:val="FFFFFF" w:themeColor="background1"/>
                        </w:rPr>
                      </w:pPr>
                      <w:hyperlink r:id="rId17" w:history="1">
                        <w:r w:rsidRPr="00B3451F">
                          <w:rPr>
                            <w:rStyle w:val="Hyperlink"/>
                            <w:rFonts w:ascii="Prompt" w:hAnsi="Prompt" w:cs="Prompt"/>
                            <w:color w:val="FFFFFF" w:themeColor="background1"/>
                          </w:rPr>
                          <w:t>https://orcid.org/0000-0002-1626-8090</w:t>
                        </w:r>
                      </w:hyperlink>
                      <w:r w:rsidRPr="00B3451F">
                        <w:rPr>
                          <w:rFonts w:ascii="Prompt" w:hAnsi="Prompt" w:cs="Prompt"/>
                          <w:color w:val="FFFFFF" w:themeColor="background1"/>
                        </w:rPr>
                        <w:t xml:space="preserve"> </w:t>
                      </w:r>
                    </w:p>
                    <w:p w:rsidR="00B3451F" w:rsidRPr="00B3451F" w:rsidRDefault="00B3451F" w:rsidP="00B3451F">
                      <w:pPr>
                        <w:spacing w:after="0" w:line="240" w:lineRule="auto"/>
                        <w:jc w:val="right"/>
                        <w:rPr>
                          <w:rFonts w:ascii="Prompt" w:hAnsi="Prompt" w:cs="Prompt"/>
                          <w:color w:val="FFFFFF" w:themeColor="background1"/>
                        </w:rPr>
                      </w:pPr>
                      <w:hyperlink r:id="rId18" w:history="1">
                        <w:r w:rsidRPr="00B3451F">
                          <w:rPr>
                            <w:rStyle w:val="Hyperlink"/>
                            <w:rFonts w:ascii="Prompt" w:hAnsi="Prompt" w:cs="Prompt"/>
                            <w:color w:val="FFFFFF" w:themeColor="background1"/>
                          </w:rPr>
                          <w:t>cesarsulca_lara@hotmail.com</w:t>
                        </w:r>
                      </w:hyperlink>
                      <w:r w:rsidRPr="00B3451F">
                        <w:rPr>
                          <w:rFonts w:ascii="Prompt" w:hAnsi="Prompt" w:cs="Prompt"/>
                          <w:color w:val="FFFFFF" w:themeColor="background1"/>
                        </w:rPr>
                        <w:t xml:space="preserve"> </w:t>
                      </w:r>
                    </w:p>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Universidad Autónoma de Ica</w:t>
                      </w:r>
                    </w:p>
                    <w:p w:rsidR="000529D8" w:rsidRPr="007352BA" w:rsidRDefault="00B3451F" w:rsidP="00B3451F">
                      <w:pPr>
                        <w:spacing w:after="0" w:line="240" w:lineRule="auto"/>
                        <w:jc w:val="right"/>
                        <w:rPr>
                          <w:rFonts w:ascii="Prompt" w:hAnsi="Prompt" w:cs="Prompt"/>
                          <w:color w:val="63AEBD"/>
                        </w:rPr>
                      </w:pPr>
                      <w:r w:rsidRPr="00B3451F">
                        <w:rPr>
                          <w:rFonts w:ascii="Prompt" w:hAnsi="Prompt" w:cs="Prompt"/>
                          <w:color w:val="63AEBD"/>
                        </w:rPr>
                        <w:t>Ica</w:t>
                      </w:r>
                      <w:r>
                        <w:rPr>
                          <w:rFonts w:ascii="Prompt" w:hAnsi="Prompt" w:cs="Prompt"/>
                          <w:color w:val="63AEBD"/>
                        </w:rPr>
                        <w:t xml:space="preserve"> – </w:t>
                      </w:r>
                      <w:r w:rsidRPr="00B3451F">
                        <w:rPr>
                          <w:rFonts w:ascii="Prompt" w:hAnsi="Prompt" w:cs="Prompt"/>
                          <w:color w:val="63AEBD"/>
                        </w:rPr>
                        <w:t>Perú</w:t>
                      </w:r>
                      <w:r>
                        <w:rPr>
                          <w:rFonts w:ascii="Prompt" w:hAnsi="Prompt" w:cs="Prompt"/>
                          <w:color w:val="63AEBD"/>
                        </w:rPr>
                        <w:t>.</w:t>
                      </w:r>
                    </w:p>
                    <w:p w:rsidR="000529D8" w:rsidRPr="007352BA" w:rsidRDefault="000529D8" w:rsidP="000529D8">
                      <w:pPr>
                        <w:spacing w:after="0" w:line="240" w:lineRule="auto"/>
                        <w:jc w:val="right"/>
                        <w:rPr>
                          <w:rFonts w:ascii="Prompt" w:hAnsi="Prompt" w:cs="Prompt"/>
                          <w:color w:val="63AEBD"/>
                        </w:rPr>
                      </w:pPr>
                    </w:p>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Cecilia Raquel Carazas Durand</w:t>
                      </w:r>
                    </w:p>
                    <w:p w:rsidR="00B3451F" w:rsidRPr="00B3451F" w:rsidRDefault="00B3451F" w:rsidP="00B3451F">
                      <w:pPr>
                        <w:spacing w:after="0" w:line="240" w:lineRule="auto"/>
                        <w:jc w:val="right"/>
                        <w:rPr>
                          <w:rFonts w:ascii="Prompt" w:hAnsi="Prompt" w:cs="Prompt"/>
                          <w:color w:val="FFFFFF" w:themeColor="background1"/>
                        </w:rPr>
                      </w:pPr>
                      <w:r w:rsidRPr="00B3451F">
                        <w:rPr>
                          <w:rFonts w:ascii="Prompt" w:hAnsi="Prompt" w:cs="Prompt"/>
                          <w:color w:val="63AEBD"/>
                        </w:rPr>
                        <w:t xml:space="preserve"> </w:t>
                      </w:r>
                      <w:hyperlink r:id="rId19" w:history="1">
                        <w:r w:rsidRPr="00B3451F">
                          <w:rPr>
                            <w:rStyle w:val="Hyperlink"/>
                            <w:rFonts w:ascii="Prompt" w:hAnsi="Prompt" w:cs="Prompt"/>
                            <w:color w:val="FFFFFF" w:themeColor="background1"/>
                          </w:rPr>
                          <w:t>https://orcid.org/0000-0001-6653-2454</w:t>
                        </w:r>
                      </w:hyperlink>
                      <w:r w:rsidRPr="00B3451F">
                        <w:rPr>
                          <w:rFonts w:ascii="Prompt" w:hAnsi="Prompt" w:cs="Prompt"/>
                          <w:color w:val="FFFFFF" w:themeColor="background1"/>
                        </w:rPr>
                        <w:t xml:space="preserve"> </w:t>
                      </w:r>
                    </w:p>
                    <w:p w:rsidR="00B3451F" w:rsidRPr="00B3451F" w:rsidRDefault="00B3451F" w:rsidP="00B3451F">
                      <w:pPr>
                        <w:spacing w:after="0" w:line="240" w:lineRule="auto"/>
                        <w:jc w:val="right"/>
                        <w:rPr>
                          <w:rFonts w:ascii="Prompt" w:hAnsi="Prompt" w:cs="Prompt"/>
                          <w:color w:val="FFFFFF" w:themeColor="background1"/>
                        </w:rPr>
                      </w:pPr>
                      <w:r w:rsidRPr="00B3451F">
                        <w:rPr>
                          <w:rFonts w:ascii="Prompt" w:hAnsi="Prompt" w:cs="Prompt"/>
                          <w:color w:val="FFFFFF" w:themeColor="background1"/>
                        </w:rPr>
                        <w:t xml:space="preserve"> </w:t>
                      </w:r>
                      <w:hyperlink r:id="rId20" w:history="1">
                        <w:r w:rsidRPr="00B3451F">
                          <w:rPr>
                            <w:rStyle w:val="Hyperlink"/>
                            <w:rFonts w:ascii="Prompt" w:hAnsi="Prompt" w:cs="Prompt"/>
                            <w:color w:val="FFFFFF" w:themeColor="background1"/>
                          </w:rPr>
                          <w:t>ccarazasdu20@ucvvirtual.edu.pe</w:t>
                        </w:r>
                      </w:hyperlink>
                      <w:r w:rsidRPr="00B3451F">
                        <w:rPr>
                          <w:rFonts w:ascii="Prompt" w:hAnsi="Prompt" w:cs="Prompt"/>
                          <w:color w:val="FFFFFF" w:themeColor="background1"/>
                        </w:rPr>
                        <w:t xml:space="preserve"> </w:t>
                      </w:r>
                    </w:p>
                    <w:p w:rsidR="00B3451F" w:rsidRPr="00B3451F" w:rsidRDefault="00B3451F" w:rsidP="00B3451F">
                      <w:pPr>
                        <w:spacing w:after="0" w:line="240" w:lineRule="auto"/>
                        <w:jc w:val="right"/>
                        <w:rPr>
                          <w:rFonts w:ascii="Prompt" w:hAnsi="Prompt" w:cs="Prompt"/>
                          <w:color w:val="63AEBD"/>
                        </w:rPr>
                      </w:pPr>
                      <w:r w:rsidRPr="00B3451F">
                        <w:rPr>
                          <w:rFonts w:ascii="Prompt" w:hAnsi="Prompt" w:cs="Prompt"/>
                          <w:color w:val="63AEBD"/>
                        </w:rPr>
                        <w:t>Universidad César Vallejo</w:t>
                      </w:r>
                    </w:p>
                    <w:p w:rsidR="000529D8" w:rsidRPr="007352BA" w:rsidRDefault="00B3451F" w:rsidP="00B3451F">
                      <w:pPr>
                        <w:spacing w:after="0" w:line="240" w:lineRule="auto"/>
                        <w:jc w:val="right"/>
                        <w:rPr>
                          <w:rFonts w:ascii="Prompt" w:hAnsi="Prompt" w:cs="Prompt"/>
                          <w:color w:val="63AEBD"/>
                        </w:rPr>
                      </w:pPr>
                      <w:r>
                        <w:rPr>
                          <w:rFonts w:ascii="Prompt" w:hAnsi="Prompt" w:cs="Prompt"/>
                          <w:color w:val="63AEBD"/>
                        </w:rPr>
                        <w:t xml:space="preserve">Lima </w:t>
                      </w:r>
                      <w:r>
                        <w:rPr>
                          <w:rFonts w:ascii="Prompt" w:hAnsi="Prompt" w:cs="Prompt"/>
                          <w:color w:val="63AEBD"/>
                          <w:lang w:val="es-VE"/>
                        </w:rPr>
                        <w:t>-</w:t>
                      </w:r>
                      <w:r w:rsidRPr="00B3451F">
                        <w:rPr>
                          <w:rFonts w:ascii="Prompt" w:hAnsi="Prompt" w:cs="Prompt"/>
                          <w:color w:val="63AEBD"/>
                        </w:rPr>
                        <w:t xml:space="preserve"> Perú</w:t>
                      </w:r>
                      <w:r w:rsidR="000529D8" w:rsidRPr="007352BA">
                        <w:rPr>
                          <w:rFonts w:ascii="Prompt" w:hAnsi="Prompt" w:cs="Prompt"/>
                          <w:color w:val="63AEBD"/>
                        </w:rPr>
                        <w:t>.</w:t>
                      </w:r>
                    </w:p>
                    <w:p w:rsidR="000529D8" w:rsidRPr="007352BA" w:rsidRDefault="000529D8" w:rsidP="000529D8">
                      <w:pPr>
                        <w:spacing w:after="0" w:line="240" w:lineRule="auto"/>
                        <w:jc w:val="right"/>
                        <w:rPr>
                          <w:rFonts w:ascii="Prompt" w:hAnsi="Prompt" w:cs="Prompt"/>
                          <w:color w:val="63AEBD"/>
                        </w:rPr>
                      </w:pPr>
                    </w:p>
                    <w:p w:rsidR="000529D8" w:rsidRPr="007352BA" w:rsidRDefault="000529D8" w:rsidP="000529D8">
                      <w:pPr>
                        <w:spacing w:after="0" w:line="240" w:lineRule="auto"/>
                        <w:jc w:val="right"/>
                        <w:rPr>
                          <w:rFonts w:ascii="Prompt" w:hAnsi="Prompt" w:cs="Prompt"/>
                          <w:color w:val="63AEBD"/>
                        </w:rPr>
                      </w:pPr>
                      <w:r w:rsidRPr="007352BA">
                        <w:rPr>
                          <w:rFonts w:ascii="Prompt" w:hAnsi="Prompt" w:cs="Prompt"/>
                          <w:color w:val="63AEBD"/>
                        </w:rPr>
                        <w:t>Nombre del autor</w:t>
                      </w:r>
                    </w:p>
                    <w:p w:rsidR="000529D8" w:rsidRPr="007352BA" w:rsidRDefault="00B239A0" w:rsidP="000529D8">
                      <w:pPr>
                        <w:spacing w:after="0" w:line="240" w:lineRule="auto"/>
                        <w:jc w:val="right"/>
                        <w:rPr>
                          <w:rFonts w:ascii="Prompt" w:hAnsi="Prompt" w:cs="Prompt"/>
                          <w:color w:val="FFFFFF"/>
                        </w:rPr>
                      </w:pPr>
                      <w:hyperlink r:id="rId21" w:history="1">
                        <w:r w:rsidR="000529D8" w:rsidRPr="007352BA">
                          <w:rPr>
                            <w:rStyle w:val="Hyperlink"/>
                            <w:rFonts w:ascii="Prompt" w:hAnsi="Prompt" w:cs="Prompt"/>
                            <w:color w:val="FFFFFF"/>
                          </w:rPr>
                          <w:t>https://orcid.ejemplo/1231251204123123</w:t>
                        </w:r>
                      </w:hyperlink>
                    </w:p>
                    <w:p w:rsidR="000529D8" w:rsidRPr="007352BA" w:rsidRDefault="00B239A0" w:rsidP="000529D8">
                      <w:pPr>
                        <w:spacing w:after="0" w:line="240" w:lineRule="auto"/>
                        <w:jc w:val="right"/>
                        <w:rPr>
                          <w:rFonts w:ascii="Prompt" w:hAnsi="Prompt" w:cs="Prompt"/>
                          <w:color w:val="FFFFFF"/>
                        </w:rPr>
                      </w:pPr>
                      <w:hyperlink r:id="rId22" w:history="1">
                        <w:r w:rsidR="000529D8" w:rsidRPr="007352BA">
                          <w:rPr>
                            <w:rStyle w:val="Hyperlink"/>
                            <w:rFonts w:ascii="Prompt" w:hAnsi="Prompt" w:cs="Prompt"/>
                            <w:color w:val="FFFFFF"/>
                          </w:rPr>
                          <w:t>corredelautorejemplo@ejemplo.com</w:t>
                        </w:r>
                      </w:hyperlink>
                    </w:p>
                    <w:p w:rsidR="000529D8" w:rsidRPr="007352BA" w:rsidRDefault="000529D8" w:rsidP="000529D8">
                      <w:pPr>
                        <w:spacing w:after="0" w:line="240" w:lineRule="auto"/>
                        <w:jc w:val="right"/>
                        <w:rPr>
                          <w:rFonts w:ascii="Prompt" w:hAnsi="Prompt" w:cs="Prompt"/>
                          <w:color w:val="63AEBD"/>
                        </w:rPr>
                      </w:pPr>
                      <w:r w:rsidRPr="007352BA">
                        <w:rPr>
                          <w:rFonts w:ascii="Prompt" w:hAnsi="Prompt" w:cs="Prompt"/>
                          <w:color w:val="63AEBD"/>
                        </w:rPr>
                        <w:t>Institución Ejemplo del Ejemplo. País Ejemplo.</w:t>
                      </w:r>
                    </w:p>
                    <w:p w:rsidR="000529D8" w:rsidRPr="007352BA" w:rsidRDefault="000529D8" w:rsidP="000529D8">
                      <w:pPr>
                        <w:spacing w:after="0" w:line="240" w:lineRule="auto"/>
                        <w:jc w:val="right"/>
                        <w:rPr>
                          <w:rFonts w:ascii="Prompt" w:hAnsi="Prompt" w:cs="Prompt"/>
                          <w:color w:val="63AEBD"/>
                        </w:rPr>
                      </w:pPr>
                    </w:p>
                    <w:p w:rsidR="000529D8" w:rsidRPr="007352BA" w:rsidRDefault="000529D8" w:rsidP="000529D8">
                      <w:pPr>
                        <w:spacing w:after="0" w:line="240" w:lineRule="auto"/>
                        <w:jc w:val="right"/>
                        <w:rPr>
                          <w:rFonts w:ascii="Prompt" w:hAnsi="Prompt" w:cs="Prompt"/>
                          <w:color w:val="FFFFFF"/>
                        </w:rPr>
                      </w:pPr>
                    </w:p>
                  </w:txbxContent>
                </v:textbox>
                <w10:wrap type="square"/>
              </v:shape>
            </w:pict>
          </mc:Fallback>
        </mc:AlternateContent>
      </w:r>
      <w:r w:rsidR="00876224">
        <w:rPr>
          <w:noProof/>
          <w:lang w:val="en-US"/>
        </w:rPr>
        <mc:AlternateContent>
          <mc:Choice Requires="wps">
            <w:drawing>
              <wp:anchor distT="45720" distB="45720" distL="114300" distR="114300" simplePos="0" relativeHeight="251657216" behindDoc="0" locked="0" layoutInCell="1" allowOverlap="1" wp14:anchorId="4F8CF2EE" wp14:editId="3F6D494F">
                <wp:simplePos x="0" y="0"/>
                <wp:positionH relativeFrom="column">
                  <wp:posOffset>200025</wp:posOffset>
                </wp:positionH>
                <wp:positionV relativeFrom="paragraph">
                  <wp:posOffset>5308600</wp:posOffset>
                </wp:positionV>
                <wp:extent cx="3008630"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8630" cy="330200"/>
                        </a:xfrm>
                        <a:prstGeom prst="rect">
                          <a:avLst/>
                        </a:prstGeom>
                        <a:noFill/>
                        <a:ln w="9525">
                          <a:noFill/>
                          <a:miter lim="800000"/>
                          <a:headEnd/>
                          <a:tailEnd/>
                        </a:ln>
                      </wps:spPr>
                      <wps:txbx>
                        <w:txbxContent>
                          <w:p w:rsidR="00802B39" w:rsidRPr="002D2ADB" w:rsidRDefault="00802B39">
                            <w:pPr>
                              <w:rPr>
                                <w:rFonts w:ascii="Poppins Black" w:hAnsi="Poppins Black" w:cs="Poppins Black"/>
                                <w:color w:val="FFFFFF"/>
                                <w:sz w:val="18"/>
                                <w:szCs w:val="18"/>
                              </w:rPr>
                            </w:pPr>
                            <w:r w:rsidRPr="00B3451F">
                              <w:rPr>
                                <w:rFonts w:ascii="Poppins Black" w:hAnsi="Poppins Black" w:cs="Poppins Black"/>
                                <w:color w:val="FFFFFF"/>
                                <w:sz w:val="18"/>
                                <w:szCs w:val="18"/>
                              </w:rPr>
                              <w:t>Reci</w:t>
                            </w:r>
                            <w:r w:rsidR="00111DD2" w:rsidRPr="00B3451F">
                              <w:rPr>
                                <w:rFonts w:ascii="Poppins Black" w:hAnsi="Poppins Black" w:cs="Poppins Black"/>
                                <w:color w:val="FFFFFF"/>
                                <w:sz w:val="18"/>
                                <w:szCs w:val="18"/>
                              </w:rPr>
                              <w:t xml:space="preserve">bido:  </w:t>
                            </w:r>
                            <w:r w:rsidR="00C43886">
                              <w:rPr>
                                <w:rFonts w:ascii="Poppins Black" w:hAnsi="Poppins Black" w:cs="Poppins Black"/>
                                <w:color w:val="FFFFFF"/>
                                <w:sz w:val="18"/>
                                <w:szCs w:val="18"/>
                              </w:rPr>
                              <w:t>18/02/2025</w:t>
                            </w:r>
                            <w:r w:rsidR="00111DD2" w:rsidRPr="00B3451F">
                              <w:rPr>
                                <w:rFonts w:ascii="Poppins Black" w:hAnsi="Poppins Black" w:cs="Poppins Black"/>
                                <w:color w:val="FFFFFF"/>
                                <w:sz w:val="18"/>
                                <w:szCs w:val="18"/>
                              </w:rPr>
                              <w:t xml:space="preserve">    Aceptado:</w:t>
                            </w:r>
                            <w:r w:rsidR="00111DD2" w:rsidRPr="00BF421D">
                              <w:rPr>
                                <w:rFonts w:ascii="Poppins Black" w:hAnsi="Poppins Black" w:cs="Poppins Black"/>
                                <w:color w:val="FFFFFF"/>
                                <w:sz w:val="18"/>
                                <w:szCs w:val="18"/>
                              </w:rPr>
                              <w:t xml:space="preserve"> </w:t>
                            </w:r>
                            <w:r w:rsidR="00C43886">
                              <w:rPr>
                                <w:rFonts w:ascii="Poppins Black" w:hAnsi="Poppins Black" w:cs="Poppins Black"/>
                                <w:color w:val="FFFFFF"/>
                                <w:sz w:val="18"/>
                                <w:szCs w:val="18"/>
                              </w:rPr>
                              <w:t>21/05/2025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8CF2EE" id="Cuadro de texto 13" o:spid="_x0000_s1027" type="#_x0000_t202" style="position:absolute;left:0;text-align:left;margin-left:15.75pt;margin-top:418pt;width:236.9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" filled="f" stroked="f">
                <v:textbox>
                  <w:txbxContent>
                    <w:p w:rsidR="00802B39" w:rsidRPr="002D2ADB" w:rsidRDefault="00802B39">
                      <w:pPr>
                        <w:rPr>
                          <w:rFonts w:ascii="Poppins Black" w:hAnsi="Poppins Black" w:cs="Poppins Black"/>
                          <w:color w:val="FFFFFF"/>
                          <w:sz w:val="18"/>
                          <w:szCs w:val="18"/>
                        </w:rPr>
                      </w:pPr>
                      <w:r w:rsidRPr="00B3451F">
                        <w:rPr>
                          <w:rFonts w:ascii="Poppins Black" w:hAnsi="Poppins Black" w:cs="Poppins Black"/>
                          <w:color w:val="FFFFFF"/>
                          <w:sz w:val="18"/>
                          <w:szCs w:val="18"/>
                        </w:rPr>
                        <w:t>Reci</w:t>
                      </w:r>
                      <w:r w:rsidR="00111DD2" w:rsidRPr="00B3451F">
                        <w:rPr>
                          <w:rFonts w:ascii="Poppins Black" w:hAnsi="Poppins Black" w:cs="Poppins Black"/>
                          <w:color w:val="FFFFFF"/>
                          <w:sz w:val="18"/>
                          <w:szCs w:val="18"/>
                        </w:rPr>
                        <w:t xml:space="preserve">bido:  </w:t>
                      </w:r>
                      <w:r w:rsidR="00C43886">
                        <w:rPr>
                          <w:rFonts w:ascii="Poppins Black" w:hAnsi="Poppins Black" w:cs="Poppins Black"/>
                          <w:color w:val="FFFFFF"/>
                          <w:sz w:val="18"/>
                          <w:szCs w:val="18"/>
                        </w:rPr>
                        <w:t>18/02/2025</w:t>
                      </w:r>
                      <w:r w:rsidR="00111DD2" w:rsidRPr="00B3451F">
                        <w:rPr>
                          <w:rFonts w:ascii="Poppins Black" w:hAnsi="Poppins Black" w:cs="Poppins Black"/>
                          <w:color w:val="FFFFFF"/>
                          <w:sz w:val="18"/>
                          <w:szCs w:val="18"/>
                        </w:rPr>
                        <w:t xml:space="preserve">    Aceptado:</w:t>
                      </w:r>
                      <w:r w:rsidR="00111DD2" w:rsidRPr="00BF421D">
                        <w:rPr>
                          <w:rFonts w:ascii="Poppins Black" w:hAnsi="Poppins Black" w:cs="Poppins Black"/>
                          <w:color w:val="FFFFFF"/>
                          <w:sz w:val="18"/>
                          <w:szCs w:val="18"/>
                        </w:rPr>
                        <w:t xml:space="preserve"> </w:t>
                      </w:r>
                      <w:r w:rsidR="00C43886">
                        <w:rPr>
                          <w:rFonts w:ascii="Poppins Black" w:hAnsi="Poppins Black" w:cs="Poppins Black"/>
                          <w:color w:val="FFFFFF"/>
                          <w:sz w:val="18"/>
                          <w:szCs w:val="18"/>
                        </w:rPr>
                        <w:t>21/05/2025</w:t>
                      </w:r>
                    </w:p>
                  </w:txbxContent>
                </v:textbox>
                <w10:wrap type="square"/>
              </v:shape>
            </w:pict>
          </mc:Fallback>
        </mc:AlternateContent>
      </w:r>
      <w:r w:rsidR="00A17E32">
        <w:rPr>
          <w:noProof/>
          <w:lang w:val="en-US"/>
        </w:rPr>
        <mc:AlternateContent>
          <mc:Choice Requires="wps">
            <w:drawing>
              <wp:anchor distT="45720" distB="45720" distL="114300" distR="114300" simplePos="0" relativeHeight="251660288" behindDoc="0" locked="0" layoutInCell="1" allowOverlap="1" wp14:anchorId="1B853866" wp14:editId="3B92E42D">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rsidR="00083D90" w:rsidRPr="002D2ADB" w:rsidRDefault="00642908"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w:t>
                            </w:r>
                            <w:r w:rsidR="00FF08B7">
                              <w:rPr>
                                <w:rFonts w:ascii="Poppins Black" w:hAnsi="Poppins Black" w:cs="Poppins Black"/>
                                <w:color w:val="FFFFFF"/>
                                <w:sz w:val="18"/>
                                <w:szCs w:val="18"/>
                              </w:rPr>
                              <w:t>6</w:t>
                            </w:r>
                            <w:r w:rsidRPr="002D2ADB">
                              <w:rPr>
                                <w:rFonts w:ascii="Poppins Black" w:hAnsi="Poppins Black" w:cs="Poppins Black"/>
                                <w:color w:val="FFFFFF"/>
                                <w:sz w:val="18"/>
                                <w:szCs w:val="18"/>
                              </w:rPr>
                              <w:t>. V</w:t>
                            </w:r>
                            <w:r w:rsidR="00F3007A">
                              <w:rPr>
                                <w:rFonts w:ascii="Poppins Black" w:hAnsi="Poppins Black" w:cs="Poppins Black"/>
                                <w:color w:val="FFFFFF"/>
                                <w:sz w:val="18"/>
                                <w:szCs w:val="18"/>
                              </w:rPr>
                              <w:t>6</w:t>
                            </w:r>
                            <w:r w:rsidRPr="002D2ADB">
                              <w:rPr>
                                <w:rFonts w:ascii="Poppins Black" w:hAnsi="Poppins Black" w:cs="Poppins Black"/>
                                <w:color w:val="FFFFFF"/>
                                <w:sz w:val="18"/>
                                <w:szCs w:val="18"/>
                              </w:rPr>
                              <w:t xml:space="preserve">. N </w:t>
                            </w:r>
                            <w:r w:rsidR="00F3007A">
                              <w:rPr>
                                <w:rFonts w:ascii="Poppins Black" w:hAnsi="Poppins Black" w:cs="Poppins Black"/>
                                <w:color w:val="FFFFFF"/>
                                <w:sz w:val="18"/>
                                <w:szCs w:val="18"/>
                              </w:rPr>
                              <w:t>1</w:t>
                            </w:r>
                            <w:r w:rsidRPr="002D2ADB">
                              <w:rPr>
                                <w:rFonts w:ascii="Poppins Black" w:hAnsi="Poppins Black" w:cs="Poppins Black"/>
                                <w:color w:val="FFFFFF"/>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853866" id="Cuadro de texto 19" o:spid="_x0000_s1028"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" filled="f" stroked="f">
                <v:textbox>
                  <w:txbxContent>
                    <w:p w:rsidR="00083D90" w:rsidRPr="002D2ADB" w:rsidRDefault="00642908"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w:t>
                      </w:r>
                      <w:r w:rsidR="00FF08B7">
                        <w:rPr>
                          <w:rFonts w:ascii="Poppins Black" w:hAnsi="Poppins Black" w:cs="Poppins Black"/>
                          <w:color w:val="FFFFFF"/>
                          <w:sz w:val="18"/>
                          <w:szCs w:val="18"/>
                        </w:rPr>
                        <w:t>6</w:t>
                      </w:r>
                      <w:r w:rsidRPr="002D2ADB">
                        <w:rPr>
                          <w:rFonts w:ascii="Poppins Black" w:hAnsi="Poppins Black" w:cs="Poppins Black"/>
                          <w:color w:val="FFFFFF"/>
                          <w:sz w:val="18"/>
                          <w:szCs w:val="18"/>
                        </w:rPr>
                        <w:t>. V</w:t>
                      </w:r>
                      <w:r w:rsidR="00F3007A">
                        <w:rPr>
                          <w:rFonts w:ascii="Poppins Black" w:hAnsi="Poppins Black" w:cs="Poppins Black"/>
                          <w:color w:val="FFFFFF"/>
                          <w:sz w:val="18"/>
                          <w:szCs w:val="18"/>
                        </w:rPr>
                        <w:t>6</w:t>
                      </w:r>
                      <w:r w:rsidRPr="002D2ADB">
                        <w:rPr>
                          <w:rFonts w:ascii="Poppins Black" w:hAnsi="Poppins Black" w:cs="Poppins Black"/>
                          <w:color w:val="FFFFFF"/>
                          <w:sz w:val="18"/>
                          <w:szCs w:val="18"/>
                        </w:rPr>
                        <w:t xml:space="preserve">. N </w:t>
                      </w:r>
                      <w:r w:rsidR="00F3007A">
                        <w:rPr>
                          <w:rFonts w:ascii="Poppins Black" w:hAnsi="Poppins Black" w:cs="Poppins Black"/>
                          <w:color w:val="FFFFFF"/>
                          <w:sz w:val="18"/>
                          <w:szCs w:val="18"/>
                        </w:rPr>
                        <w:t>1</w:t>
                      </w:r>
                      <w:r w:rsidRPr="002D2ADB">
                        <w:rPr>
                          <w:rFonts w:ascii="Poppins Black" w:hAnsi="Poppins Black" w:cs="Poppins Black"/>
                          <w:color w:val="FFFFFF"/>
                          <w:sz w:val="18"/>
                          <w:szCs w:val="18"/>
                        </w:rPr>
                        <w:t>.</w:t>
                      </w:r>
                    </w:p>
                  </w:txbxContent>
                </v:textbox>
                <w10:wrap type="square"/>
              </v:shape>
            </w:pict>
          </mc:Fallback>
        </mc:AlternateContent>
      </w:r>
      <w:r w:rsidR="00A17E32">
        <w:rPr>
          <w:noProof/>
          <w:lang w:val="en-US"/>
        </w:rPr>
        <w:drawing>
          <wp:anchor distT="0" distB="0" distL="114300" distR="114300" simplePos="0" relativeHeight="251661312" behindDoc="1" locked="0" layoutInCell="1" allowOverlap="1" wp14:anchorId="60D1502F" wp14:editId="7CD21536">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Pr>
          <w:noProof/>
          <w:lang w:val="en-US"/>
        </w:rPr>
        <mc:AlternateContent>
          <mc:Choice Requires="wps">
            <w:drawing>
              <wp:anchor distT="0" distB="0" distL="114300" distR="114300" simplePos="0" relativeHeight="251654144" behindDoc="0" locked="0" layoutInCell="1" allowOverlap="1" wp14:anchorId="268ECE4C" wp14:editId="39F16588">
                <wp:simplePos x="0" y="0"/>
                <wp:positionH relativeFrom="column">
                  <wp:posOffset>-706755</wp:posOffset>
                </wp:positionH>
                <wp:positionV relativeFrom="paragraph">
                  <wp:posOffset>-887095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4D694A" id="Rectángulo 15" o:spid="_x0000_s1026" style="position:absolute;margin-left:-55.65pt;margin-top:-69.8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" fillcolor="#0d1a46" strokecolor="#172c51" strokeweight="1pt">
                <v:path arrowok="t"/>
              </v:rect>
            </w:pict>
          </mc:Fallback>
        </mc:AlternateContent>
      </w:r>
      <w:r w:rsidR="00A17E32">
        <w:rPr>
          <w:noProof/>
          <w:lang w:val="en-US"/>
        </w:rPr>
        <mc:AlternateContent>
          <mc:Choice Requires="wpg">
            <w:drawing>
              <wp:anchor distT="0" distB="0" distL="457200" distR="457200" simplePos="0" relativeHeight="251656192" behindDoc="0" locked="0" layoutInCell="1" allowOverlap="1" wp14:anchorId="6D506C93" wp14:editId="54262027">
                <wp:simplePos x="0" y="0"/>
                <wp:positionH relativeFrom="page">
                  <wp:posOffset>393700</wp:posOffset>
                </wp:positionH>
                <wp:positionV relativeFrom="page">
                  <wp:posOffset>12700</wp:posOffset>
                </wp:positionV>
                <wp:extent cx="6504940" cy="6705600"/>
                <wp:effectExtent l="0" t="0" r="0"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04940" cy="6705600"/>
                          <a:chOff x="227566" y="0"/>
                          <a:chExt cx="9903112"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217877" y="568872"/>
                            <a:ext cx="8912801" cy="2292684"/>
                          </a:xfrm>
                          <a:prstGeom prst="rect">
                            <a:avLst/>
                          </a:prstGeom>
                          <a:noFill/>
                          <a:ln w="6350">
                            <a:noFill/>
                          </a:ln>
                          <a:effectLst/>
                        </wps:spPr>
                        <wps:txbx>
                          <w:txbxContent>
                            <w:p w:rsidR="00B3451F" w:rsidRDefault="00B3451F" w:rsidP="00802B39">
                              <w:pPr>
                                <w:spacing w:after="0" w:line="240" w:lineRule="auto"/>
                                <w:rPr>
                                  <w:rFonts w:ascii="Poppins Black" w:hAnsi="Poppins Black" w:cs="Poppins Black"/>
                                  <w:color w:val="DEEAF6"/>
                                  <w:sz w:val="36"/>
                                  <w:szCs w:val="36"/>
                                </w:rPr>
                              </w:pPr>
                              <w:r w:rsidRPr="00B3451F">
                                <w:rPr>
                                  <w:rFonts w:ascii="Poppins Black" w:hAnsi="Poppins Black" w:cs="Poppins Black"/>
                                  <w:color w:val="DEEAF6"/>
                                  <w:sz w:val="36"/>
                                  <w:szCs w:val="36"/>
                                </w:rPr>
                                <w:t>Estrategias d</w:t>
                              </w:r>
                              <w:r>
                                <w:rPr>
                                  <w:rFonts w:ascii="Poppins Black" w:hAnsi="Poppins Black" w:cs="Poppins Black"/>
                                  <w:color w:val="DEEAF6"/>
                                  <w:sz w:val="36"/>
                                  <w:szCs w:val="36"/>
                                </w:rPr>
                                <w:t>idácticas para el aprendizaje: u</w:t>
                              </w:r>
                              <w:r w:rsidRPr="00B3451F">
                                <w:rPr>
                                  <w:rFonts w:ascii="Poppins Black" w:hAnsi="Poppins Black" w:cs="Poppins Black"/>
                                  <w:color w:val="DEEAF6"/>
                                  <w:sz w:val="36"/>
                                  <w:szCs w:val="36"/>
                                </w:rPr>
                                <w:t>na revisión sistemática</w:t>
                              </w:r>
                            </w:p>
                            <w:p w:rsidR="00802B39" w:rsidRPr="002D2ADB" w:rsidRDefault="00B3451F" w:rsidP="00B2525B">
                              <w:pPr>
                                <w:spacing w:after="0" w:line="240" w:lineRule="auto"/>
                                <w:rPr>
                                  <w:rFonts w:ascii="Poppins Black" w:hAnsi="Poppins Black" w:cs="Poppins Black"/>
                                  <w:color w:val="DEEAF6"/>
                                  <w:sz w:val="44"/>
                                  <w:szCs w:val="44"/>
                                  <w:lang w:val="en-US"/>
                                </w:rPr>
                              </w:pPr>
                              <w:r w:rsidRPr="00B3451F">
                                <w:rPr>
                                  <w:rFonts w:ascii="Poppins Black" w:hAnsi="Poppins Black" w:cs="Poppins Black"/>
                                  <w:color w:val="DEEAF6"/>
                                  <w:sz w:val="28"/>
                                  <w:szCs w:val="28"/>
                                  <w:lang w:val="en-US"/>
                                </w:rPr>
                                <w:t>Didactic Strategies for Learning: A Systematic Review</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6D506C93" id="Grupo 11" o:spid="_x0000_s1029" style="position:absolute;left:0;text-align:left;margin-left:31pt;margin-top:1pt;width:512.2pt;height:528pt;z-index:251656192;mso-wrap-distance-left:36pt;mso-wrap-distance-right:36pt;mso-position-horizontal-relative:page;mso-position-vertical-relative:page;mso-width-relative:margin" coordorigin="2275" coordsize="99031,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">
                <v:shape id="Rectángulo 5" o:spid="_x0000_s1030"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 id="Cuadro de texto 185" o:spid="_x0000_s1031" type="#_x0000_t202" style="position:absolute;left:12178;top:5688;width:89128;height:2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rsidR="00B3451F" w:rsidRDefault="00B3451F" w:rsidP="00802B39">
                        <w:pPr>
                          <w:spacing w:after="0" w:line="240" w:lineRule="auto"/>
                          <w:rPr>
                            <w:rFonts w:ascii="Poppins Black" w:hAnsi="Poppins Black" w:cs="Poppins Black"/>
                            <w:color w:val="DEEAF6"/>
                            <w:sz w:val="36"/>
                            <w:szCs w:val="36"/>
                          </w:rPr>
                        </w:pPr>
                        <w:r w:rsidRPr="00B3451F">
                          <w:rPr>
                            <w:rFonts w:ascii="Poppins Black" w:hAnsi="Poppins Black" w:cs="Poppins Black"/>
                            <w:color w:val="DEEAF6"/>
                            <w:sz w:val="36"/>
                            <w:szCs w:val="36"/>
                          </w:rPr>
                          <w:t>Estrategias d</w:t>
                        </w:r>
                        <w:r>
                          <w:rPr>
                            <w:rFonts w:ascii="Poppins Black" w:hAnsi="Poppins Black" w:cs="Poppins Black"/>
                            <w:color w:val="DEEAF6"/>
                            <w:sz w:val="36"/>
                            <w:szCs w:val="36"/>
                          </w:rPr>
                          <w:t>idácticas para el aprendizaje: u</w:t>
                        </w:r>
                        <w:r w:rsidRPr="00B3451F">
                          <w:rPr>
                            <w:rFonts w:ascii="Poppins Black" w:hAnsi="Poppins Black" w:cs="Poppins Black"/>
                            <w:color w:val="DEEAF6"/>
                            <w:sz w:val="36"/>
                            <w:szCs w:val="36"/>
                          </w:rPr>
                          <w:t>na revisión sistemática</w:t>
                        </w:r>
                      </w:p>
                      <w:p w:rsidR="00802B39" w:rsidRPr="002D2ADB" w:rsidRDefault="00B3451F" w:rsidP="00B2525B">
                        <w:pPr>
                          <w:spacing w:after="0" w:line="240" w:lineRule="auto"/>
                          <w:rPr>
                            <w:rFonts w:ascii="Poppins Black" w:hAnsi="Poppins Black" w:cs="Poppins Black"/>
                            <w:color w:val="DEEAF6"/>
                            <w:sz w:val="44"/>
                            <w:szCs w:val="44"/>
                            <w:lang w:val="en-US"/>
                          </w:rPr>
                        </w:pPr>
                        <w:r w:rsidRPr="00B3451F">
                          <w:rPr>
                            <w:rFonts w:ascii="Poppins Black" w:hAnsi="Poppins Black" w:cs="Poppins Black"/>
                            <w:color w:val="DEEAF6"/>
                            <w:sz w:val="28"/>
                            <w:szCs w:val="28"/>
                            <w:lang w:val="en-US"/>
                          </w:rPr>
                          <w:t>Didactic Strategies for Learning: A Systematic Review</w:t>
                        </w:r>
                      </w:p>
                    </w:txbxContent>
                  </v:textbox>
                </v:shape>
                <w10:wrap type="square" anchorx="page" anchory="page"/>
              </v:group>
            </w:pict>
          </mc:Fallback>
        </mc:AlternateContent>
      </w:r>
      <w:r w:rsidR="00A17E32">
        <w:rPr>
          <w:noProof/>
          <w:lang w:val="en-US"/>
        </w:rPr>
        <mc:AlternateContent>
          <mc:Choice Requires="wps">
            <w:drawing>
              <wp:anchor distT="0" distB="0" distL="114300" distR="114300" simplePos="0" relativeHeight="251655168" behindDoc="0" locked="0" layoutInCell="1" allowOverlap="1" wp14:anchorId="4162349F" wp14:editId="28889BEA">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18AA0D"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p>
    <w:p w:rsidR="00DE6601" w:rsidRPr="00E271E2" w:rsidRDefault="00DE6601" w:rsidP="00E271E2">
      <w:pPr>
        <w:spacing w:after="0" w:line="240" w:lineRule="auto"/>
        <w:jc w:val="both"/>
        <w:rPr>
          <w:rFonts w:ascii="Arial" w:hAnsi="Arial" w:cs="Arial"/>
          <w:b/>
          <w:bCs/>
        </w:rPr>
      </w:pPr>
      <w:r w:rsidRPr="00E271E2">
        <w:rPr>
          <w:rFonts w:ascii="Arial" w:hAnsi="Arial" w:cs="Arial"/>
          <w:b/>
          <w:bCs/>
        </w:rPr>
        <w:t>Resumen</w:t>
      </w:r>
    </w:p>
    <w:p w:rsidR="00B3451F" w:rsidRDefault="000157AB" w:rsidP="00E271E2">
      <w:pPr>
        <w:spacing w:after="0" w:line="240" w:lineRule="auto"/>
        <w:jc w:val="both"/>
        <w:rPr>
          <w:rFonts w:ascii="Arial" w:hAnsi="Arial" w:cs="Arial"/>
          <w:sz w:val="20"/>
          <w:szCs w:val="20"/>
        </w:rPr>
      </w:pPr>
      <w:r w:rsidRPr="000157AB">
        <w:rPr>
          <w:rFonts w:ascii="Arial" w:hAnsi="Arial" w:cs="Arial"/>
          <w:sz w:val="20"/>
          <w:szCs w:val="20"/>
        </w:rPr>
        <w:t xml:space="preserve">El objetivo del presente estudio fue analizar las implicancias de las estrategias didácticas para el aprendizaje. Para ello, se utilizó una metodología basada en los indicadores del método PRISMA, lo que permitió realizar un análisis riguroso de los resultados. Los criterios de inclusión contemplaron el uso de palabras clave en inglés y en español, tales como: "teaching strategies" AND "learning" y "estrategias de enseñanza" AND "aprendizaje". Se consideraron artículos publicados entre los años 2020 y 2025, provenientes de las bases de datos Scopus y SciELO, empleando como motor de búsqueda el operador booleano AND. Como criterios de exclusión, se descartaron artículos con acceso restringido, resúmenes de conferencias y capítulos de libros. En total, se identificaron 1,421 artículos en Scopus y 192 en SciELO; luego del proceso de selección, se incluyeron 8 artículos de Scopus y 12 de SciELO, sumando un total de 20 estudios analizados. Los resultados evidencian que el uso de estrategias didácticas se plantea en diversos contextos, siendo los entornos virtuales de aprendizaje una herramienta clave para la mejora de los procesos educativos en distintas áreas. Estas estrategias reconocen al estudiante como sujeto activo, promueven su participación, respetan su individualidad y fomentan una conexión significativa con el objeto de aprendizaje. Asimismo, se concluye que las estrategias didácticas organizadas por etapas (inicio, desarrollo, aplicación y síntesis) favorecen el aprendizaje significativo, al permitir la clarificación de </w:t>
      </w:r>
      <w:r w:rsidRPr="000157AB">
        <w:rPr>
          <w:rFonts w:ascii="Arial" w:hAnsi="Arial" w:cs="Arial"/>
          <w:sz w:val="20"/>
          <w:szCs w:val="20"/>
        </w:rPr>
        <w:lastRenderedPageBreak/>
        <w:t>ideas y la resolución de problemas. No obstante, aún existen oportunidades de mejora en el fomento de la autonomía y el trabajo colaborativo. Las secuencias didácticas diseñadas y evaluadas por docentes demostraron ser efectivas para mejorar la calidad educativa y promover el aprendizaje desde una perspectiva interdisciplinaria.</w:t>
      </w:r>
    </w:p>
    <w:p w:rsidR="000157AB" w:rsidRPr="00E271E2" w:rsidRDefault="000157AB" w:rsidP="00E271E2">
      <w:pPr>
        <w:spacing w:after="0" w:line="240" w:lineRule="auto"/>
        <w:jc w:val="both"/>
        <w:rPr>
          <w:rFonts w:ascii="Arial" w:hAnsi="Arial" w:cs="Arial"/>
          <w:sz w:val="20"/>
          <w:szCs w:val="20"/>
        </w:rPr>
      </w:pPr>
    </w:p>
    <w:p w:rsidR="00627E06" w:rsidRPr="00E271E2" w:rsidRDefault="00EF28BE" w:rsidP="00E271E2">
      <w:pPr>
        <w:spacing w:after="0" w:line="240" w:lineRule="auto"/>
        <w:jc w:val="both"/>
        <w:rPr>
          <w:rFonts w:ascii="Arial" w:hAnsi="Arial" w:cs="Arial"/>
          <w:sz w:val="20"/>
          <w:szCs w:val="20"/>
        </w:rPr>
      </w:pPr>
      <w:r w:rsidRPr="00E271E2">
        <w:rPr>
          <w:rFonts w:ascii="Arial" w:hAnsi="Arial" w:cs="Arial"/>
          <w:b/>
          <w:bCs/>
          <w:sz w:val="20"/>
          <w:szCs w:val="20"/>
        </w:rPr>
        <w:t>Palabras clave</w:t>
      </w:r>
      <w:r w:rsidR="00B3451F">
        <w:rPr>
          <w:rFonts w:ascii="Arial" w:hAnsi="Arial" w:cs="Arial"/>
          <w:sz w:val="20"/>
          <w:szCs w:val="20"/>
        </w:rPr>
        <w:t>: estrategias didácticas, aprendizaje, p</w:t>
      </w:r>
      <w:r w:rsidR="00B3451F" w:rsidRPr="00B3451F">
        <w:rPr>
          <w:rFonts w:ascii="Arial" w:hAnsi="Arial" w:cs="Arial"/>
          <w:sz w:val="20"/>
          <w:szCs w:val="20"/>
        </w:rPr>
        <w:t>rocesos</w:t>
      </w:r>
      <w:r w:rsidR="00E271E2">
        <w:rPr>
          <w:rFonts w:ascii="Arial" w:hAnsi="Arial" w:cs="Arial"/>
          <w:sz w:val="20"/>
          <w:szCs w:val="20"/>
        </w:rPr>
        <w:t>.</w:t>
      </w:r>
    </w:p>
    <w:p w:rsidR="00E271E2" w:rsidRDefault="00E271E2" w:rsidP="00E271E2">
      <w:pPr>
        <w:spacing w:after="0" w:line="240" w:lineRule="auto"/>
        <w:jc w:val="both"/>
        <w:rPr>
          <w:rFonts w:ascii="Arial" w:hAnsi="Arial" w:cs="Arial"/>
          <w:b/>
          <w:bCs/>
        </w:rPr>
      </w:pPr>
    </w:p>
    <w:p w:rsidR="00EF28BE" w:rsidRDefault="00EF28BE" w:rsidP="00E271E2">
      <w:pPr>
        <w:spacing w:after="0" w:line="240" w:lineRule="auto"/>
        <w:jc w:val="both"/>
        <w:rPr>
          <w:rFonts w:ascii="Arial" w:hAnsi="Arial" w:cs="Arial"/>
          <w:b/>
          <w:bCs/>
          <w:lang w:val="en-US"/>
        </w:rPr>
      </w:pPr>
      <w:r w:rsidRPr="003F5B3B">
        <w:rPr>
          <w:rFonts w:ascii="Arial" w:hAnsi="Arial" w:cs="Arial"/>
          <w:b/>
          <w:bCs/>
          <w:lang w:val="en-US"/>
        </w:rPr>
        <w:t>Abstract</w:t>
      </w:r>
    </w:p>
    <w:p w:rsidR="000157AB" w:rsidRPr="000157AB" w:rsidRDefault="000157AB" w:rsidP="00E271E2">
      <w:pPr>
        <w:spacing w:after="0" w:line="240" w:lineRule="auto"/>
        <w:jc w:val="both"/>
        <w:rPr>
          <w:rFonts w:ascii="Arial" w:hAnsi="Arial" w:cs="Arial"/>
          <w:bCs/>
          <w:sz w:val="20"/>
          <w:lang w:val="en-US"/>
        </w:rPr>
      </w:pPr>
      <w:r w:rsidRPr="000157AB">
        <w:rPr>
          <w:rFonts w:ascii="Arial" w:hAnsi="Arial" w:cs="Arial"/>
          <w:bCs/>
          <w:sz w:val="20"/>
          <w:lang w:val="en-US"/>
        </w:rPr>
        <w:t>The objective of this study was to analyze the implications of didactic strategies for learning. To this end, a methodology based on the indicators of the PRISMA method was used, which allowed a rigorous analysis of the results. The inclusion criteria included the use of keywords in English and Spanish, such as: "teaching strategies" AND "learning" and "teaching strategies" AND "learning".</w:t>
      </w:r>
      <w:r>
        <w:rPr>
          <w:rFonts w:ascii="Arial" w:hAnsi="Arial" w:cs="Arial"/>
          <w:bCs/>
          <w:sz w:val="20"/>
          <w:lang w:val="en-US"/>
        </w:rPr>
        <w:t xml:space="preserve"> </w:t>
      </w:r>
      <w:r w:rsidRPr="000157AB">
        <w:rPr>
          <w:rFonts w:ascii="Arial" w:hAnsi="Arial" w:cs="Arial"/>
          <w:bCs/>
          <w:sz w:val="20"/>
          <w:lang w:val="en-US"/>
        </w:rPr>
        <w:t>Articles published between 2020 and 2025 from the Scopus and SciELO databases were considered, using the Boolean operator AND as a search engine. As exclusion criteria, articles with restricted access, conference abstracts and book chapters were discarded.</w:t>
      </w:r>
      <w:r>
        <w:rPr>
          <w:rFonts w:ascii="Arial" w:hAnsi="Arial" w:cs="Arial"/>
          <w:bCs/>
          <w:sz w:val="20"/>
          <w:lang w:val="en-US"/>
        </w:rPr>
        <w:t xml:space="preserve"> </w:t>
      </w:r>
      <w:r w:rsidRPr="000157AB">
        <w:rPr>
          <w:rFonts w:ascii="Arial" w:hAnsi="Arial" w:cs="Arial"/>
          <w:bCs/>
          <w:sz w:val="20"/>
          <w:lang w:val="en-US"/>
        </w:rPr>
        <w:t>In total, 1,421 articles were identified in Scopus and 192 in SciELO; after the selection process, 8 articles from Scopus and 12 from SciELO were included, adding up to a total of 20 studies analyzed. The results show that the use of didactic strategies is proposed in various contexts, with virtual learning environments being a key tool for the improvement of educational processes in different areas.</w:t>
      </w:r>
      <w:r>
        <w:rPr>
          <w:rFonts w:ascii="Arial" w:hAnsi="Arial" w:cs="Arial"/>
          <w:bCs/>
          <w:sz w:val="20"/>
          <w:lang w:val="en-US"/>
        </w:rPr>
        <w:t xml:space="preserve"> </w:t>
      </w:r>
      <w:r w:rsidRPr="000157AB">
        <w:rPr>
          <w:rFonts w:ascii="Arial" w:hAnsi="Arial" w:cs="Arial"/>
          <w:bCs/>
          <w:sz w:val="20"/>
          <w:lang w:val="en-US"/>
        </w:rPr>
        <w:t>These strategies recognize the student as an active subject, promote their participation, respect their individuality and foster a meaningful connection with the object of learning. Likewise, it is concluded that didactic strategies organized by stages (beginning, development, application and synthesis) favor meaningful learning, by allowing the clarification of ideas and the resolution of problems. However, there are still opportunities for improvement in the promotion of autonomy and collaborative work. The didactic sequences designed and evaluated by teachers proved to be effective in improving educational quality and promoting learning from an interdisciplinary perspective.</w:t>
      </w:r>
    </w:p>
    <w:p w:rsidR="003F5B3B" w:rsidRPr="003F5B3B" w:rsidRDefault="003F5B3B" w:rsidP="00E271E2">
      <w:pPr>
        <w:spacing w:after="0" w:line="240" w:lineRule="auto"/>
        <w:jc w:val="both"/>
        <w:rPr>
          <w:rFonts w:ascii="Arial" w:hAnsi="Arial" w:cs="Arial"/>
          <w:sz w:val="20"/>
          <w:szCs w:val="20"/>
          <w:lang w:val="en-US"/>
        </w:rPr>
      </w:pPr>
    </w:p>
    <w:p w:rsidR="00EF28BE" w:rsidRPr="003F5B3B" w:rsidRDefault="00EF28BE" w:rsidP="00E271E2">
      <w:pPr>
        <w:spacing w:after="0" w:line="240" w:lineRule="auto"/>
        <w:jc w:val="both"/>
        <w:rPr>
          <w:rFonts w:ascii="Arial" w:hAnsi="Arial" w:cs="Arial"/>
          <w:sz w:val="20"/>
          <w:szCs w:val="20"/>
          <w:lang w:val="en-US"/>
        </w:rPr>
      </w:pPr>
      <w:r w:rsidRPr="003F5B3B">
        <w:rPr>
          <w:rFonts w:ascii="Arial" w:hAnsi="Arial" w:cs="Arial"/>
          <w:b/>
          <w:bCs/>
          <w:sz w:val="20"/>
          <w:szCs w:val="20"/>
          <w:lang w:val="en-US"/>
        </w:rPr>
        <w:t>Keywords</w:t>
      </w:r>
      <w:r w:rsidR="003F5B3B" w:rsidRPr="003F5B3B">
        <w:rPr>
          <w:rFonts w:ascii="Arial" w:hAnsi="Arial" w:cs="Arial"/>
          <w:sz w:val="20"/>
          <w:szCs w:val="20"/>
          <w:lang w:val="en-US"/>
        </w:rPr>
        <w:t>: didactic strategies, learning, processes</w:t>
      </w:r>
      <w:r w:rsidR="00E271E2" w:rsidRPr="003F5B3B">
        <w:rPr>
          <w:rFonts w:ascii="Arial" w:hAnsi="Arial" w:cs="Arial"/>
          <w:sz w:val="20"/>
          <w:szCs w:val="20"/>
          <w:lang w:val="en-US"/>
        </w:rPr>
        <w:t>.</w:t>
      </w:r>
    </w:p>
    <w:p w:rsidR="00EF28BE" w:rsidRPr="003F5B3B" w:rsidRDefault="00EF28BE" w:rsidP="00E271E2">
      <w:pPr>
        <w:spacing w:after="0" w:line="240" w:lineRule="auto"/>
        <w:jc w:val="both"/>
        <w:rPr>
          <w:rFonts w:ascii="Arial" w:hAnsi="Arial" w:cs="Arial"/>
          <w:sz w:val="20"/>
          <w:szCs w:val="20"/>
          <w:lang w:val="en-US"/>
        </w:rPr>
      </w:pPr>
    </w:p>
    <w:p w:rsidR="00EF28BE" w:rsidRPr="00E271E2" w:rsidRDefault="00EF28BE" w:rsidP="00E271E2">
      <w:pPr>
        <w:spacing w:after="0" w:line="240" w:lineRule="auto"/>
        <w:jc w:val="both"/>
        <w:rPr>
          <w:rFonts w:ascii="Arial" w:hAnsi="Arial" w:cs="Arial"/>
          <w:b/>
          <w:bCs/>
        </w:rPr>
      </w:pPr>
      <w:r w:rsidRPr="00E271E2">
        <w:rPr>
          <w:rFonts w:ascii="Arial" w:hAnsi="Arial" w:cs="Arial"/>
          <w:b/>
          <w:bCs/>
        </w:rPr>
        <w:t>Introducción</w:t>
      </w:r>
    </w:p>
    <w:p w:rsidR="00835236" w:rsidRPr="00835236" w:rsidRDefault="00835236" w:rsidP="00835236">
      <w:pPr>
        <w:spacing w:after="0" w:line="240" w:lineRule="auto"/>
        <w:ind w:firstLine="709"/>
        <w:jc w:val="both"/>
        <w:rPr>
          <w:rFonts w:ascii="Arial" w:hAnsi="Arial" w:cs="Arial"/>
          <w:sz w:val="20"/>
          <w:szCs w:val="20"/>
        </w:rPr>
      </w:pPr>
      <w:r w:rsidRPr="00835236">
        <w:rPr>
          <w:rFonts w:ascii="Arial" w:hAnsi="Arial" w:cs="Arial"/>
          <w:sz w:val="20"/>
          <w:szCs w:val="20"/>
        </w:rPr>
        <w:t>A pesar de que en diversos contextos educativos se han promovido experiencias orientadas al bienestar integral, en el ámbito de la educación médica persiste una limitada integración de enfoques alternativos dentro del currículo formal. Si bien algunas escuelas de medicina han comenzado a incorporar las artes como herramienta pedagógica, estas iniciativas siguen siendo aisladas y carecen de sistematicidad. Esta situación evidencia la necesidad de replantear los métodos tradicionales de formación médica e incorporar prácticas innovadoras que respondan a los desafíos complejos de la educación y de la profesión en el siglo XXI (Jaime-Silva et al., 2023).</w:t>
      </w:r>
    </w:p>
    <w:p w:rsidR="00835236" w:rsidRPr="00835236" w:rsidRDefault="00835236" w:rsidP="00835236">
      <w:pPr>
        <w:spacing w:after="0" w:line="240" w:lineRule="auto"/>
        <w:ind w:firstLine="709"/>
        <w:jc w:val="both"/>
        <w:rPr>
          <w:rFonts w:ascii="Arial" w:hAnsi="Arial" w:cs="Arial"/>
          <w:sz w:val="20"/>
          <w:szCs w:val="20"/>
        </w:rPr>
      </w:pPr>
      <w:r w:rsidRPr="00835236">
        <w:rPr>
          <w:rFonts w:ascii="Arial" w:hAnsi="Arial" w:cs="Arial"/>
          <w:sz w:val="20"/>
          <w:szCs w:val="20"/>
        </w:rPr>
        <w:t>Aunque las estrategias de enseñanza deben estar orientadas a fomentar el aprendizaje futuro y reflejar las creencias docentes en la práctica, aún se observa una brecha entre la teoría pedagógica y su aplicación efectiva. Se requiere que dichas estrategias promuevan el conocimiento social, la inteligencia colaborativa, la participación activa del estudiante, el pensamiento crítico y un aprendizaje continuo y multidimensional. No obstante, en contextos específicos como el Departamento de Odontología Protésica, no siempre se consideran las percepciones estudiantiles sobre las estrategias implementadas, lo que dificulta la mejora del proceso de enseñanza-aprendizaje (</w:t>
      </w:r>
      <w:proofErr w:type="spellStart"/>
      <w:r w:rsidRPr="00835236">
        <w:rPr>
          <w:rFonts w:ascii="Arial" w:hAnsi="Arial" w:cs="Arial"/>
          <w:sz w:val="20"/>
          <w:szCs w:val="20"/>
        </w:rPr>
        <w:t>Kabini</w:t>
      </w:r>
      <w:proofErr w:type="spellEnd"/>
      <w:r w:rsidRPr="00835236">
        <w:rPr>
          <w:rFonts w:ascii="Arial" w:hAnsi="Arial" w:cs="Arial"/>
          <w:sz w:val="20"/>
          <w:szCs w:val="20"/>
        </w:rPr>
        <w:t xml:space="preserve"> et al., 2024).</w:t>
      </w:r>
    </w:p>
    <w:p w:rsidR="00835236" w:rsidRPr="00835236" w:rsidRDefault="00835236" w:rsidP="00835236">
      <w:pPr>
        <w:spacing w:after="0" w:line="240" w:lineRule="auto"/>
        <w:ind w:firstLine="709"/>
        <w:jc w:val="both"/>
        <w:rPr>
          <w:rFonts w:ascii="Arial" w:hAnsi="Arial" w:cs="Arial"/>
          <w:sz w:val="20"/>
          <w:szCs w:val="20"/>
        </w:rPr>
      </w:pPr>
      <w:r w:rsidRPr="00835236">
        <w:rPr>
          <w:rFonts w:ascii="Arial" w:hAnsi="Arial" w:cs="Arial"/>
          <w:sz w:val="20"/>
          <w:szCs w:val="20"/>
        </w:rPr>
        <w:t>Uno de los desafíos persistentes es la escasa consideración de los estilos de aprendizaje, los cuales representan las preferencias y disposiciones individuales que los estudiantes desarrollan a lo largo de su vida para procesar, comprender y retener información. Esta diversidad, que influye directamente en la forma en que cada persona construye su conocimiento, tiende a ser ignorada en los enfoques pedagógicos tradicionales. La falta de adaptación a estas diferencias limita el potencial de aprendizaje significativo y afecta negativamente el rendimiento académico del estudiantado (Cisterna Zenteno et al., 2022).</w:t>
      </w:r>
    </w:p>
    <w:p w:rsidR="00835236" w:rsidRPr="00835236" w:rsidRDefault="00835236" w:rsidP="00835236">
      <w:pPr>
        <w:spacing w:after="0" w:line="240" w:lineRule="auto"/>
        <w:ind w:firstLine="709"/>
        <w:jc w:val="both"/>
        <w:rPr>
          <w:rFonts w:ascii="Arial" w:hAnsi="Arial" w:cs="Arial"/>
          <w:sz w:val="20"/>
          <w:szCs w:val="20"/>
        </w:rPr>
      </w:pPr>
      <w:r w:rsidRPr="00835236">
        <w:rPr>
          <w:rFonts w:ascii="Arial" w:hAnsi="Arial" w:cs="Arial"/>
          <w:sz w:val="20"/>
          <w:szCs w:val="20"/>
        </w:rPr>
        <w:t>El ser humano presenta limitaciones cognitivas al momento de identificar y reaccionar ante amenazas que no son percibidas como inmediatas, ya que el sistema de alerta del cerebro está diseñado para responder a peligros directos y visibles. Esta condición dificulta la comprensión y atención a problemáticas actuales que, por su escala macro o micro, suelen pasar desapercibidas. En consecuencia, se vuelve urgente incorporar el pensamiento sistémico en los procesos formativos, ya que este permite analizar de forma integral las conexiones entre factores sociales, económicos y ambientales que influyen en los desafíos contemporáneos (</w:t>
      </w:r>
      <w:proofErr w:type="spellStart"/>
      <w:r w:rsidRPr="00835236">
        <w:rPr>
          <w:rFonts w:ascii="Arial" w:hAnsi="Arial" w:cs="Arial"/>
          <w:sz w:val="20"/>
          <w:szCs w:val="20"/>
        </w:rPr>
        <w:t>Astaiza</w:t>
      </w:r>
      <w:proofErr w:type="spellEnd"/>
      <w:r w:rsidRPr="00835236">
        <w:rPr>
          <w:rFonts w:ascii="Arial" w:hAnsi="Arial" w:cs="Arial"/>
          <w:sz w:val="20"/>
          <w:szCs w:val="20"/>
        </w:rPr>
        <w:t xml:space="preserve"> Martínez et al., 2022).</w:t>
      </w:r>
    </w:p>
    <w:p w:rsidR="00835236" w:rsidRPr="00835236" w:rsidRDefault="00835236" w:rsidP="00835236">
      <w:pPr>
        <w:spacing w:after="0" w:line="240" w:lineRule="auto"/>
        <w:ind w:firstLine="709"/>
        <w:jc w:val="both"/>
        <w:rPr>
          <w:rFonts w:ascii="Arial" w:hAnsi="Arial" w:cs="Arial"/>
          <w:sz w:val="20"/>
          <w:szCs w:val="20"/>
        </w:rPr>
      </w:pPr>
      <w:r w:rsidRPr="00835236">
        <w:rPr>
          <w:rFonts w:ascii="Arial" w:hAnsi="Arial" w:cs="Arial"/>
          <w:sz w:val="20"/>
          <w:szCs w:val="20"/>
        </w:rPr>
        <w:t>En el contexto peruano, el rol del docente universitario ha cobrado creciente relevancia, especialmente en relación con el uso de estrategias pedagógicas que favorezcan un aprendizaje significativo. Sin embargo, persiste el desafío de aplicar métodos de enseñanza de forma intencional, reflexiva y flexible, lo cual limita el desarrollo óptimo de competencias cognitivas y habilidades profesionales en los estudiantes. Esta situación compromete la posibilidad de alcanzar altos niveles de satisfacción académica, evidenciando la necesidad de replantear y fortalecer las prácticas docentes dentro del proceso formativo (Hurtado-Palomino et al., 2021).</w:t>
      </w:r>
    </w:p>
    <w:p w:rsidR="00835236" w:rsidRPr="00835236" w:rsidRDefault="00835236" w:rsidP="00835236">
      <w:pPr>
        <w:spacing w:after="0" w:line="240" w:lineRule="auto"/>
        <w:ind w:firstLine="709"/>
        <w:jc w:val="both"/>
        <w:rPr>
          <w:rFonts w:ascii="Arial" w:hAnsi="Arial" w:cs="Arial"/>
          <w:sz w:val="20"/>
          <w:szCs w:val="20"/>
        </w:rPr>
      </w:pPr>
      <w:r w:rsidRPr="00835236">
        <w:rPr>
          <w:rFonts w:ascii="Arial" w:hAnsi="Arial" w:cs="Arial"/>
          <w:sz w:val="20"/>
          <w:szCs w:val="20"/>
        </w:rPr>
        <w:t>A pesar de la implementación de diversas estrategias de enseñanza, sigue siendo necesario que los docentes universitarios desarrollen adecuadamente sus competencias pedagógicas durante el proceso de enseñanza-aprendizaje. La carencia de estas habilidades dificulta la planificación efectiva, la interacción significativa con los estudiantes y la evaluación del aprendizaje. Esta situación se agrava cuando no se integran enfoques constructivistas en el diseño y desarrollo curricular, lo que limita la calidad del proceso formativo y el cumplimiento de los objetivos educativos (Campos-Gutiérrez et al., 2021).</w:t>
      </w:r>
    </w:p>
    <w:p w:rsidR="00683E7D" w:rsidRDefault="00835236" w:rsidP="00835236">
      <w:pPr>
        <w:spacing w:after="0" w:line="240" w:lineRule="auto"/>
        <w:ind w:firstLine="709"/>
        <w:jc w:val="both"/>
        <w:rPr>
          <w:rFonts w:ascii="Arial" w:hAnsi="Arial" w:cs="Arial"/>
          <w:sz w:val="20"/>
          <w:szCs w:val="20"/>
        </w:rPr>
      </w:pPr>
      <w:r w:rsidRPr="00835236">
        <w:rPr>
          <w:rFonts w:ascii="Arial" w:hAnsi="Arial" w:cs="Arial"/>
          <w:sz w:val="20"/>
          <w:szCs w:val="20"/>
        </w:rPr>
        <w:t>En ese sentido, el objetivo del presente estudio fue analizar las implicancias de las estrategias didácticas para el aprendizaje.</w:t>
      </w:r>
    </w:p>
    <w:p w:rsidR="00835236" w:rsidRPr="00E271E2" w:rsidRDefault="00835236" w:rsidP="00835236">
      <w:pPr>
        <w:spacing w:after="0" w:line="240" w:lineRule="auto"/>
        <w:ind w:firstLine="709"/>
        <w:jc w:val="both"/>
        <w:rPr>
          <w:rFonts w:ascii="Arial" w:hAnsi="Arial" w:cs="Arial"/>
          <w:sz w:val="20"/>
          <w:szCs w:val="20"/>
        </w:rPr>
      </w:pPr>
    </w:p>
    <w:p w:rsidR="00683E7D" w:rsidRPr="00E271E2" w:rsidRDefault="00683E7D" w:rsidP="00E271E2">
      <w:pPr>
        <w:spacing w:after="0" w:line="240" w:lineRule="auto"/>
        <w:jc w:val="both"/>
        <w:rPr>
          <w:rFonts w:ascii="Arial" w:hAnsi="Arial" w:cs="Arial"/>
          <w:b/>
          <w:bCs/>
        </w:rPr>
      </w:pPr>
      <w:r w:rsidRPr="00E271E2">
        <w:rPr>
          <w:rFonts w:ascii="Arial" w:hAnsi="Arial" w:cs="Arial"/>
          <w:b/>
          <w:bCs/>
        </w:rPr>
        <w:t>Meto</w:t>
      </w:r>
      <w:bookmarkStart w:id="0" w:name="_GoBack"/>
      <w:bookmarkEnd w:id="0"/>
      <w:r w:rsidRPr="00E271E2">
        <w:rPr>
          <w:rFonts w:ascii="Arial" w:hAnsi="Arial" w:cs="Arial"/>
          <w:b/>
          <w:bCs/>
        </w:rPr>
        <w:t>dología</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Para el desarrollo del presente estudio se emplearon los lineamientos del método PRISMA, considerando los criterios adecuados para la elaboración de una revisión sistemática, lo que permitió realizar un análisis riguroso de los resultados. Los criterios de inclusión contemplaron el uso de palabras clave en inglés y en español, tales como: "teaching strategies" AND "learning" y "estrategias de enseñanza" AND "aprendizaje". Se seleccionaron artículos disponibles en texto completo, provenientes de las bases de datos Scopus y SciELO, utilizando el operador booleano AND como motor de búsqueda. Se incluyeron publicaciones comprendidas entre los años 2020 y 2025.</w:t>
      </w:r>
    </w:p>
    <w:p w:rsidR="00683E7D"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Entre los criterios de exclusión se descartaron artículos con acceso restringido, resúmenes de conferencias, así como capítulos de libros, al no cumplir con los estándares de calidad y profundidad requeridos para el análisis. Como resultado de la búsqueda, se identificaron 1,421 artículos en la base de datos Scopus y 192 en SciELO. Tras aplicar los criterios de selección, se seleccionaron 8 artículos de Scopus y 12 de SciELO, lo que dio como resultado un total de 20 artículos analizados para</w:t>
      </w:r>
      <w:r>
        <w:rPr>
          <w:rFonts w:ascii="Arial" w:hAnsi="Arial" w:cs="Arial"/>
          <w:sz w:val="20"/>
          <w:szCs w:val="20"/>
        </w:rPr>
        <w:t xml:space="preserve"> los fines del presente estudio</w:t>
      </w:r>
      <w:r w:rsidR="00B3451F" w:rsidRPr="00B3451F">
        <w:rPr>
          <w:rFonts w:ascii="Arial" w:hAnsi="Arial" w:cs="Arial"/>
          <w:sz w:val="20"/>
          <w:szCs w:val="20"/>
        </w:rPr>
        <w:t>.</w:t>
      </w:r>
    </w:p>
    <w:p w:rsidR="00B3451F" w:rsidRDefault="00B3451F" w:rsidP="00B3451F">
      <w:pPr>
        <w:widowControl w:val="0"/>
        <w:spacing w:after="0" w:line="240" w:lineRule="auto"/>
        <w:rPr>
          <w:rFonts w:ascii="Times New Roman" w:eastAsia="Arial" w:hAnsi="Times New Roman"/>
          <w:b/>
          <w:bCs/>
          <w:kern w:val="0"/>
          <w:sz w:val="20"/>
          <w:szCs w:val="20"/>
          <w:lang w:eastAsia="es-PE"/>
        </w:rPr>
      </w:pPr>
    </w:p>
    <w:p w:rsidR="00B3451F" w:rsidRPr="00B3451F" w:rsidRDefault="00B3451F" w:rsidP="00B3451F">
      <w:pPr>
        <w:widowControl w:val="0"/>
        <w:spacing w:after="0" w:line="240" w:lineRule="auto"/>
        <w:rPr>
          <w:rFonts w:ascii="Arial" w:eastAsia="Arial" w:hAnsi="Arial" w:cs="Arial"/>
          <w:kern w:val="0"/>
          <w:sz w:val="20"/>
          <w:szCs w:val="20"/>
          <w:lang w:eastAsia="es-PE"/>
        </w:rPr>
      </w:pPr>
      <w:r w:rsidRPr="00B3451F">
        <w:rPr>
          <w:rFonts w:ascii="Arial" w:eastAsia="Arial" w:hAnsi="Arial" w:cs="Arial"/>
          <w:b/>
          <w:bCs/>
          <w:kern w:val="0"/>
          <w:sz w:val="20"/>
          <w:szCs w:val="20"/>
          <w:lang w:eastAsia="es-PE"/>
        </w:rPr>
        <w:t>Tabla 1</w:t>
      </w:r>
    </w:p>
    <w:p w:rsidR="00B3451F" w:rsidRPr="00B3451F" w:rsidRDefault="00B3451F" w:rsidP="00B3451F">
      <w:pPr>
        <w:widowControl w:val="0"/>
        <w:spacing w:after="0" w:line="240" w:lineRule="auto"/>
        <w:rPr>
          <w:rFonts w:ascii="Arial" w:eastAsia="Arial" w:hAnsi="Arial" w:cs="Arial"/>
          <w:i/>
          <w:iCs/>
          <w:kern w:val="0"/>
          <w:sz w:val="20"/>
          <w:szCs w:val="20"/>
          <w:lang w:eastAsia="es-PE"/>
        </w:rPr>
      </w:pPr>
      <w:r w:rsidRPr="00B3451F">
        <w:rPr>
          <w:rFonts w:ascii="Arial" w:eastAsia="Arial" w:hAnsi="Arial" w:cs="Arial"/>
          <w:i/>
          <w:iCs/>
          <w:kern w:val="0"/>
          <w:sz w:val="20"/>
          <w:szCs w:val="20"/>
          <w:lang w:eastAsia="es-PE"/>
        </w:rPr>
        <w:t xml:space="preserve">Palabras de búsqueda en artículos de bases de datos </w:t>
      </w:r>
    </w:p>
    <w:tbl>
      <w:tblPr>
        <w:tblStyle w:val="TableNormal1"/>
        <w:tblpPr w:leftFromText="141" w:rightFromText="141" w:vertAnchor="text" w:horzAnchor="margin" w:tblpXSpec="center" w:tblpY="373"/>
        <w:tblW w:w="8642" w:type="dxa"/>
        <w:tblBorders>
          <w:top w:val="single" w:sz="4" w:space="0" w:color="000000"/>
          <w:bottom w:val="single" w:sz="4" w:space="0" w:color="000000"/>
          <w:insideH w:val="single" w:sz="4" w:space="0" w:color="000000"/>
        </w:tblBorders>
        <w:tblLayout w:type="fixed"/>
        <w:tblLook w:val="01E0" w:firstRow="1" w:lastRow="1" w:firstColumn="1" w:lastColumn="1" w:noHBand="0" w:noVBand="0"/>
      </w:tblPr>
      <w:tblGrid>
        <w:gridCol w:w="1560"/>
        <w:gridCol w:w="3822"/>
        <w:gridCol w:w="1559"/>
        <w:gridCol w:w="1701"/>
      </w:tblGrid>
      <w:tr w:rsidR="00B3451F" w:rsidRPr="00B3451F" w:rsidTr="00B3451F">
        <w:trPr>
          <w:trHeight w:val="363"/>
        </w:trPr>
        <w:tc>
          <w:tcPr>
            <w:tcW w:w="1560" w:type="dxa"/>
            <w:tcBorders>
              <w:bottom w:val="single" w:sz="4" w:space="0" w:color="000000"/>
            </w:tcBorders>
          </w:tcPr>
          <w:p w:rsidR="00B3451F" w:rsidRPr="00B3451F" w:rsidRDefault="00B3451F" w:rsidP="00691C06">
            <w:pPr>
              <w:pStyle w:val="TableParagraph"/>
              <w:spacing w:before="0"/>
              <w:rPr>
                <w:rFonts w:ascii="Arial" w:hAnsi="Arial" w:cs="Arial"/>
                <w:b/>
                <w:sz w:val="20"/>
                <w:szCs w:val="20"/>
                <w:lang w:val="es-PE"/>
              </w:rPr>
            </w:pPr>
            <w:r w:rsidRPr="00B3451F">
              <w:rPr>
                <w:rFonts w:ascii="Arial" w:hAnsi="Arial" w:cs="Arial"/>
                <w:b/>
                <w:sz w:val="20"/>
                <w:szCs w:val="20"/>
                <w:lang w:val="es-PE"/>
              </w:rPr>
              <w:t>Base de datos</w:t>
            </w:r>
          </w:p>
        </w:tc>
        <w:tc>
          <w:tcPr>
            <w:tcW w:w="3822" w:type="dxa"/>
            <w:tcBorders>
              <w:bottom w:val="single" w:sz="4" w:space="0" w:color="000000"/>
            </w:tcBorders>
          </w:tcPr>
          <w:p w:rsidR="00B3451F" w:rsidRPr="00B3451F" w:rsidRDefault="00B3451F" w:rsidP="00691C06">
            <w:pPr>
              <w:pStyle w:val="TableParagraph"/>
              <w:spacing w:before="0"/>
              <w:rPr>
                <w:rFonts w:ascii="Arial" w:hAnsi="Arial" w:cs="Arial"/>
                <w:b/>
                <w:sz w:val="20"/>
                <w:szCs w:val="20"/>
                <w:lang w:val="es-PE"/>
              </w:rPr>
            </w:pPr>
            <w:r w:rsidRPr="00B3451F">
              <w:rPr>
                <w:rFonts w:ascii="Arial" w:eastAsia="Arial" w:hAnsi="Arial" w:cs="Arial"/>
                <w:b/>
                <w:sz w:val="20"/>
                <w:szCs w:val="20"/>
                <w:lang w:val="es-PE" w:eastAsia="es-PE"/>
              </w:rPr>
              <w:t>Término de búsqueda</w:t>
            </w:r>
          </w:p>
        </w:tc>
        <w:tc>
          <w:tcPr>
            <w:tcW w:w="1559" w:type="dxa"/>
            <w:tcBorders>
              <w:bottom w:val="single" w:sz="4" w:space="0" w:color="000000"/>
            </w:tcBorders>
          </w:tcPr>
          <w:p w:rsidR="00B3451F" w:rsidRPr="00B3451F" w:rsidRDefault="00B3451F" w:rsidP="00691C06">
            <w:pPr>
              <w:pStyle w:val="TableParagraph"/>
              <w:spacing w:before="0"/>
              <w:ind w:left="106"/>
              <w:rPr>
                <w:rFonts w:ascii="Arial" w:hAnsi="Arial" w:cs="Arial"/>
                <w:b/>
                <w:sz w:val="20"/>
                <w:szCs w:val="20"/>
                <w:lang w:val="es-PE"/>
              </w:rPr>
            </w:pPr>
            <w:r w:rsidRPr="00B3451F">
              <w:rPr>
                <w:rFonts w:ascii="Arial" w:eastAsia="Arial" w:hAnsi="Arial" w:cs="Arial"/>
                <w:b/>
                <w:sz w:val="20"/>
                <w:szCs w:val="20"/>
                <w:lang w:val="es-PE" w:eastAsia="es-PE"/>
              </w:rPr>
              <w:t>Resultados</w:t>
            </w:r>
          </w:p>
        </w:tc>
        <w:tc>
          <w:tcPr>
            <w:tcW w:w="1701" w:type="dxa"/>
            <w:tcBorders>
              <w:bottom w:val="single" w:sz="4" w:space="0" w:color="000000"/>
            </w:tcBorders>
          </w:tcPr>
          <w:p w:rsidR="00B3451F" w:rsidRPr="00B3451F" w:rsidRDefault="00B3451F" w:rsidP="00691C06">
            <w:pPr>
              <w:pStyle w:val="TableParagraph"/>
              <w:spacing w:before="0"/>
              <w:ind w:left="106"/>
              <w:rPr>
                <w:rFonts w:ascii="Arial" w:hAnsi="Arial" w:cs="Arial"/>
                <w:b/>
                <w:sz w:val="20"/>
                <w:szCs w:val="20"/>
                <w:lang w:val="es-PE"/>
              </w:rPr>
            </w:pPr>
            <w:r w:rsidRPr="00B3451F">
              <w:rPr>
                <w:rFonts w:ascii="Arial" w:eastAsia="Arial" w:hAnsi="Arial" w:cs="Arial"/>
                <w:b/>
                <w:sz w:val="20"/>
                <w:szCs w:val="20"/>
                <w:lang w:val="es-PE" w:eastAsia="es-PE"/>
              </w:rPr>
              <w:t>Seleccionados</w:t>
            </w:r>
          </w:p>
        </w:tc>
      </w:tr>
      <w:tr w:rsidR="00B3451F" w:rsidRPr="00B3451F" w:rsidTr="00B3451F">
        <w:trPr>
          <w:trHeight w:val="599"/>
        </w:trPr>
        <w:tc>
          <w:tcPr>
            <w:tcW w:w="1560" w:type="dxa"/>
            <w:tcBorders>
              <w:bottom w:val="nil"/>
            </w:tcBorders>
          </w:tcPr>
          <w:p w:rsidR="00B3451F" w:rsidRPr="00B3451F" w:rsidRDefault="00B3451F" w:rsidP="00691C06">
            <w:pPr>
              <w:pStyle w:val="TableParagraph"/>
              <w:spacing w:before="0"/>
              <w:ind w:left="0"/>
              <w:rPr>
                <w:rFonts w:ascii="Arial" w:hAnsi="Arial" w:cs="Arial"/>
                <w:sz w:val="20"/>
                <w:szCs w:val="20"/>
                <w:lang w:val="es-PE"/>
              </w:rPr>
            </w:pPr>
            <w:r w:rsidRPr="00B3451F">
              <w:rPr>
                <w:rFonts w:ascii="Arial" w:hAnsi="Arial" w:cs="Arial"/>
                <w:sz w:val="20"/>
                <w:szCs w:val="20"/>
                <w:lang w:val="es-PE"/>
              </w:rPr>
              <w:t>Scopus</w:t>
            </w:r>
          </w:p>
        </w:tc>
        <w:tc>
          <w:tcPr>
            <w:tcW w:w="3822" w:type="dxa"/>
            <w:tcBorders>
              <w:bottom w:val="nil"/>
            </w:tcBorders>
          </w:tcPr>
          <w:p w:rsidR="00B3451F" w:rsidRPr="00B3451F" w:rsidRDefault="00B3451F" w:rsidP="00691C06">
            <w:pPr>
              <w:pStyle w:val="TableParagraph"/>
              <w:spacing w:before="0"/>
              <w:ind w:right="513"/>
              <w:rPr>
                <w:rFonts w:ascii="Arial" w:hAnsi="Arial" w:cs="Arial"/>
                <w:sz w:val="20"/>
                <w:szCs w:val="20"/>
              </w:rPr>
            </w:pPr>
            <w:r w:rsidRPr="00B3451F">
              <w:rPr>
                <w:rFonts w:ascii="Arial" w:hAnsi="Arial" w:cs="Arial"/>
                <w:sz w:val="20"/>
                <w:szCs w:val="20"/>
              </w:rPr>
              <w:t>"teaching strategies" AND "learning"</w:t>
            </w:r>
          </w:p>
        </w:tc>
        <w:tc>
          <w:tcPr>
            <w:tcW w:w="1559" w:type="dxa"/>
            <w:tcBorders>
              <w:bottom w:val="nil"/>
            </w:tcBorders>
          </w:tcPr>
          <w:p w:rsidR="00B3451F" w:rsidRPr="00B3451F" w:rsidRDefault="00B3451F" w:rsidP="00691C06">
            <w:pPr>
              <w:pStyle w:val="TableParagraph"/>
              <w:spacing w:before="0"/>
              <w:ind w:left="106" w:right="187"/>
              <w:jc w:val="center"/>
              <w:rPr>
                <w:rFonts w:ascii="Arial" w:hAnsi="Arial" w:cs="Arial"/>
                <w:sz w:val="20"/>
                <w:szCs w:val="20"/>
                <w:lang w:val="es-PE"/>
              </w:rPr>
            </w:pPr>
            <w:r w:rsidRPr="00B3451F">
              <w:rPr>
                <w:rFonts w:ascii="Arial" w:hAnsi="Arial" w:cs="Arial"/>
                <w:sz w:val="20"/>
                <w:szCs w:val="20"/>
                <w:lang w:val="es-PE"/>
              </w:rPr>
              <w:t>1421</w:t>
            </w:r>
          </w:p>
        </w:tc>
        <w:tc>
          <w:tcPr>
            <w:tcW w:w="1701" w:type="dxa"/>
            <w:tcBorders>
              <w:bottom w:val="nil"/>
            </w:tcBorders>
          </w:tcPr>
          <w:p w:rsidR="00B3451F" w:rsidRPr="00B3451F" w:rsidRDefault="00B3451F" w:rsidP="00691C06">
            <w:pPr>
              <w:pStyle w:val="TableParagraph"/>
              <w:spacing w:before="0"/>
              <w:ind w:left="106" w:right="187"/>
              <w:jc w:val="center"/>
              <w:rPr>
                <w:rFonts w:ascii="Arial" w:hAnsi="Arial" w:cs="Arial"/>
                <w:sz w:val="20"/>
                <w:szCs w:val="20"/>
                <w:lang w:val="es-PE"/>
              </w:rPr>
            </w:pPr>
            <w:r w:rsidRPr="00B3451F">
              <w:rPr>
                <w:rFonts w:ascii="Arial" w:hAnsi="Arial" w:cs="Arial"/>
                <w:sz w:val="20"/>
                <w:szCs w:val="20"/>
                <w:lang w:val="es-PE"/>
              </w:rPr>
              <w:t>8</w:t>
            </w:r>
          </w:p>
        </w:tc>
      </w:tr>
      <w:tr w:rsidR="00B3451F" w:rsidRPr="00B3451F" w:rsidTr="00B3451F">
        <w:trPr>
          <w:trHeight w:val="423"/>
        </w:trPr>
        <w:tc>
          <w:tcPr>
            <w:tcW w:w="1560" w:type="dxa"/>
            <w:tcBorders>
              <w:top w:val="nil"/>
              <w:bottom w:val="nil"/>
            </w:tcBorders>
          </w:tcPr>
          <w:p w:rsidR="00B3451F" w:rsidRPr="00B3451F" w:rsidRDefault="00A04258" w:rsidP="00691C06">
            <w:pPr>
              <w:pStyle w:val="TableParagraph"/>
              <w:spacing w:before="0"/>
              <w:rPr>
                <w:rFonts w:ascii="Arial" w:hAnsi="Arial" w:cs="Arial"/>
                <w:sz w:val="20"/>
                <w:szCs w:val="20"/>
                <w:lang w:val="es-PE"/>
              </w:rPr>
            </w:pPr>
            <w:r w:rsidRPr="00B3451F">
              <w:rPr>
                <w:rFonts w:ascii="Arial" w:hAnsi="Arial" w:cs="Arial"/>
                <w:sz w:val="20"/>
                <w:szCs w:val="20"/>
                <w:lang w:val="es-PE"/>
              </w:rPr>
              <w:t>SciELO</w:t>
            </w:r>
          </w:p>
        </w:tc>
        <w:tc>
          <w:tcPr>
            <w:tcW w:w="3822" w:type="dxa"/>
            <w:tcBorders>
              <w:top w:val="nil"/>
              <w:bottom w:val="nil"/>
            </w:tcBorders>
          </w:tcPr>
          <w:p w:rsidR="00B3451F" w:rsidRPr="00B3451F" w:rsidRDefault="00B3451F" w:rsidP="00691C06">
            <w:pPr>
              <w:pStyle w:val="TableParagraph"/>
              <w:spacing w:before="0"/>
              <w:ind w:right="513"/>
              <w:rPr>
                <w:rFonts w:ascii="Arial" w:hAnsi="Arial" w:cs="Arial"/>
                <w:sz w:val="20"/>
                <w:szCs w:val="20"/>
                <w:lang w:val="es-PE"/>
              </w:rPr>
            </w:pPr>
            <w:r w:rsidRPr="00B3451F">
              <w:rPr>
                <w:rFonts w:ascii="Arial" w:hAnsi="Arial" w:cs="Arial"/>
                <w:sz w:val="20"/>
                <w:szCs w:val="20"/>
                <w:lang w:val="es-PE"/>
              </w:rPr>
              <w:t>"teaching strategies" AND "learning"</w:t>
            </w:r>
          </w:p>
        </w:tc>
        <w:tc>
          <w:tcPr>
            <w:tcW w:w="1559" w:type="dxa"/>
            <w:tcBorders>
              <w:top w:val="nil"/>
              <w:bottom w:val="nil"/>
            </w:tcBorders>
          </w:tcPr>
          <w:p w:rsidR="00B3451F" w:rsidRPr="00B3451F" w:rsidRDefault="00B3451F" w:rsidP="00691C06">
            <w:pPr>
              <w:pStyle w:val="TableParagraph"/>
              <w:spacing w:before="0"/>
              <w:ind w:left="106" w:right="187"/>
              <w:jc w:val="center"/>
              <w:rPr>
                <w:rFonts w:ascii="Arial" w:hAnsi="Arial" w:cs="Arial"/>
                <w:sz w:val="20"/>
                <w:szCs w:val="20"/>
                <w:lang w:val="es-PE"/>
              </w:rPr>
            </w:pPr>
            <w:r w:rsidRPr="00B3451F">
              <w:rPr>
                <w:rFonts w:ascii="Arial" w:hAnsi="Arial" w:cs="Arial"/>
                <w:sz w:val="20"/>
                <w:szCs w:val="20"/>
                <w:lang w:val="es-PE"/>
              </w:rPr>
              <w:t>192</w:t>
            </w:r>
          </w:p>
        </w:tc>
        <w:tc>
          <w:tcPr>
            <w:tcW w:w="1701" w:type="dxa"/>
            <w:tcBorders>
              <w:top w:val="nil"/>
              <w:bottom w:val="nil"/>
            </w:tcBorders>
          </w:tcPr>
          <w:p w:rsidR="00B3451F" w:rsidRPr="00B3451F" w:rsidRDefault="00B3451F" w:rsidP="00691C06">
            <w:pPr>
              <w:pStyle w:val="TableParagraph"/>
              <w:spacing w:before="0"/>
              <w:ind w:left="106" w:right="187"/>
              <w:jc w:val="center"/>
              <w:rPr>
                <w:rFonts w:ascii="Arial" w:hAnsi="Arial" w:cs="Arial"/>
                <w:sz w:val="20"/>
                <w:szCs w:val="20"/>
                <w:lang w:val="es-PE"/>
              </w:rPr>
            </w:pPr>
            <w:r w:rsidRPr="00B3451F">
              <w:rPr>
                <w:rFonts w:ascii="Arial" w:hAnsi="Arial" w:cs="Arial"/>
                <w:sz w:val="20"/>
                <w:szCs w:val="20"/>
                <w:lang w:val="es-PE"/>
              </w:rPr>
              <w:t>12</w:t>
            </w:r>
          </w:p>
        </w:tc>
      </w:tr>
      <w:tr w:rsidR="00B3451F" w:rsidRPr="00B3451F" w:rsidTr="00B3451F">
        <w:trPr>
          <w:trHeight w:val="330"/>
        </w:trPr>
        <w:tc>
          <w:tcPr>
            <w:tcW w:w="5382" w:type="dxa"/>
            <w:gridSpan w:val="2"/>
            <w:tcBorders>
              <w:top w:val="nil"/>
            </w:tcBorders>
          </w:tcPr>
          <w:p w:rsidR="00B3451F" w:rsidRPr="00B3451F" w:rsidRDefault="00B3451F" w:rsidP="00691C06">
            <w:pPr>
              <w:pStyle w:val="TableParagraph"/>
              <w:spacing w:before="0"/>
              <w:ind w:right="513"/>
              <w:jc w:val="center"/>
              <w:rPr>
                <w:rFonts w:ascii="Arial" w:hAnsi="Arial" w:cs="Arial"/>
                <w:sz w:val="20"/>
                <w:szCs w:val="20"/>
                <w:lang w:val="es-PE"/>
              </w:rPr>
            </w:pPr>
            <w:r w:rsidRPr="00B3451F">
              <w:rPr>
                <w:rFonts w:ascii="Arial" w:hAnsi="Arial" w:cs="Arial"/>
                <w:sz w:val="20"/>
                <w:szCs w:val="20"/>
                <w:lang w:val="es-PE"/>
              </w:rPr>
              <w:t>Total</w:t>
            </w:r>
          </w:p>
        </w:tc>
        <w:tc>
          <w:tcPr>
            <w:tcW w:w="1559" w:type="dxa"/>
            <w:tcBorders>
              <w:top w:val="nil"/>
            </w:tcBorders>
          </w:tcPr>
          <w:p w:rsidR="00B3451F" w:rsidRPr="00B3451F" w:rsidRDefault="00B3451F" w:rsidP="00691C06">
            <w:pPr>
              <w:pStyle w:val="TableParagraph"/>
              <w:spacing w:before="0"/>
              <w:ind w:left="106" w:right="187"/>
              <w:jc w:val="center"/>
              <w:rPr>
                <w:rFonts w:ascii="Arial" w:hAnsi="Arial" w:cs="Arial"/>
                <w:sz w:val="20"/>
                <w:szCs w:val="20"/>
                <w:lang w:val="es-PE"/>
              </w:rPr>
            </w:pPr>
            <w:r w:rsidRPr="00B3451F">
              <w:rPr>
                <w:rFonts w:ascii="Arial" w:hAnsi="Arial" w:cs="Arial"/>
                <w:sz w:val="20"/>
                <w:szCs w:val="20"/>
                <w:lang w:val="es-PE"/>
              </w:rPr>
              <w:t>1613</w:t>
            </w:r>
          </w:p>
        </w:tc>
        <w:tc>
          <w:tcPr>
            <w:tcW w:w="1701" w:type="dxa"/>
            <w:tcBorders>
              <w:top w:val="nil"/>
            </w:tcBorders>
          </w:tcPr>
          <w:p w:rsidR="00B3451F" w:rsidRPr="00B3451F" w:rsidRDefault="00B3451F" w:rsidP="00691C06">
            <w:pPr>
              <w:pStyle w:val="TableParagraph"/>
              <w:spacing w:before="0"/>
              <w:ind w:left="106" w:right="187"/>
              <w:jc w:val="center"/>
              <w:rPr>
                <w:rFonts w:ascii="Arial" w:hAnsi="Arial" w:cs="Arial"/>
                <w:sz w:val="20"/>
                <w:szCs w:val="20"/>
                <w:lang w:val="es-PE"/>
              </w:rPr>
            </w:pPr>
            <w:r w:rsidRPr="00B3451F">
              <w:rPr>
                <w:rFonts w:ascii="Arial" w:hAnsi="Arial" w:cs="Arial"/>
                <w:sz w:val="20"/>
                <w:szCs w:val="20"/>
                <w:lang w:val="es-PE"/>
              </w:rPr>
              <w:t>20</w:t>
            </w:r>
          </w:p>
        </w:tc>
      </w:tr>
    </w:tbl>
    <w:p w:rsidR="001415B4" w:rsidRDefault="001415B4" w:rsidP="00B3451F">
      <w:pPr>
        <w:tabs>
          <w:tab w:val="left" w:pos="567"/>
        </w:tabs>
        <w:spacing w:after="0" w:line="240" w:lineRule="auto"/>
        <w:rPr>
          <w:rFonts w:ascii="Arial" w:hAnsi="Arial" w:cs="Arial"/>
          <w:b/>
          <w:kern w:val="0"/>
          <w:sz w:val="20"/>
          <w:szCs w:val="20"/>
        </w:rPr>
      </w:pPr>
    </w:p>
    <w:p w:rsidR="001415B4" w:rsidRDefault="001415B4" w:rsidP="00B3451F">
      <w:pPr>
        <w:tabs>
          <w:tab w:val="left" w:pos="567"/>
        </w:tabs>
        <w:spacing w:after="0" w:line="240" w:lineRule="auto"/>
        <w:rPr>
          <w:rFonts w:ascii="Arial" w:hAnsi="Arial" w:cs="Arial"/>
          <w:b/>
          <w:kern w:val="0"/>
          <w:sz w:val="20"/>
          <w:szCs w:val="20"/>
        </w:rPr>
      </w:pPr>
    </w:p>
    <w:p w:rsidR="001415B4" w:rsidRDefault="001415B4" w:rsidP="00B3451F">
      <w:pPr>
        <w:tabs>
          <w:tab w:val="left" w:pos="567"/>
        </w:tabs>
        <w:spacing w:after="0" w:line="240" w:lineRule="auto"/>
        <w:rPr>
          <w:rFonts w:ascii="Arial" w:hAnsi="Arial" w:cs="Arial"/>
          <w:b/>
          <w:kern w:val="0"/>
          <w:sz w:val="20"/>
          <w:szCs w:val="20"/>
        </w:rPr>
      </w:pPr>
    </w:p>
    <w:p w:rsidR="001415B4" w:rsidRDefault="001415B4" w:rsidP="00B3451F">
      <w:pPr>
        <w:tabs>
          <w:tab w:val="left" w:pos="567"/>
        </w:tabs>
        <w:spacing w:after="0" w:line="240" w:lineRule="auto"/>
        <w:rPr>
          <w:rFonts w:ascii="Arial" w:hAnsi="Arial" w:cs="Arial"/>
          <w:b/>
          <w:kern w:val="0"/>
          <w:sz w:val="20"/>
          <w:szCs w:val="20"/>
        </w:rPr>
      </w:pPr>
    </w:p>
    <w:p w:rsidR="001415B4" w:rsidRDefault="001415B4" w:rsidP="00B3451F">
      <w:pPr>
        <w:tabs>
          <w:tab w:val="left" w:pos="567"/>
        </w:tabs>
        <w:spacing w:after="0" w:line="240" w:lineRule="auto"/>
        <w:rPr>
          <w:rFonts w:ascii="Arial" w:hAnsi="Arial" w:cs="Arial"/>
          <w:b/>
          <w:kern w:val="0"/>
          <w:sz w:val="20"/>
          <w:szCs w:val="20"/>
        </w:rPr>
      </w:pPr>
    </w:p>
    <w:p w:rsidR="001415B4" w:rsidRDefault="001415B4" w:rsidP="00B3451F">
      <w:pPr>
        <w:tabs>
          <w:tab w:val="left" w:pos="567"/>
        </w:tabs>
        <w:spacing w:after="0" w:line="240" w:lineRule="auto"/>
        <w:rPr>
          <w:rFonts w:ascii="Arial" w:hAnsi="Arial" w:cs="Arial"/>
          <w:b/>
          <w:kern w:val="0"/>
          <w:sz w:val="20"/>
          <w:szCs w:val="20"/>
        </w:rPr>
      </w:pPr>
    </w:p>
    <w:p w:rsidR="001415B4" w:rsidRDefault="001415B4" w:rsidP="00B3451F">
      <w:pPr>
        <w:tabs>
          <w:tab w:val="left" w:pos="567"/>
        </w:tabs>
        <w:spacing w:after="0" w:line="240" w:lineRule="auto"/>
        <w:rPr>
          <w:rFonts w:ascii="Arial" w:hAnsi="Arial" w:cs="Arial"/>
          <w:b/>
          <w:kern w:val="0"/>
          <w:sz w:val="20"/>
          <w:szCs w:val="20"/>
        </w:rPr>
      </w:pPr>
    </w:p>
    <w:p w:rsidR="001415B4" w:rsidRDefault="001415B4" w:rsidP="00B3451F">
      <w:pPr>
        <w:tabs>
          <w:tab w:val="left" w:pos="567"/>
        </w:tabs>
        <w:spacing w:after="0" w:line="240" w:lineRule="auto"/>
        <w:rPr>
          <w:rFonts w:ascii="Arial" w:hAnsi="Arial" w:cs="Arial"/>
          <w:b/>
          <w:kern w:val="0"/>
          <w:sz w:val="20"/>
          <w:szCs w:val="20"/>
        </w:rPr>
      </w:pPr>
    </w:p>
    <w:p w:rsidR="001415B4" w:rsidRDefault="001415B4" w:rsidP="00B3451F">
      <w:pPr>
        <w:tabs>
          <w:tab w:val="left" w:pos="567"/>
        </w:tabs>
        <w:spacing w:after="0" w:line="240" w:lineRule="auto"/>
        <w:rPr>
          <w:rFonts w:ascii="Arial" w:hAnsi="Arial" w:cs="Arial"/>
          <w:b/>
          <w:kern w:val="0"/>
          <w:sz w:val="20"/>
          <w:szCs w:val="20"/>
        </w:rPr>
      </w:pPr>
    </w:p>
    <w:p w:rsidR="001415B4" w:rsidRDefault="001415B4"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A04258" w:rsidRDefault="00A04258" w:rsidP="00B3451F">
      <w:pPr>
        <w:tabs>
          <w:tab w:val="left" w:pos="567"/>
        </w:tabs>
        <w:spacing w:after="0" w:line="240" w:lineRule="auto"/>
        <w:rPr>
          <w:rFonts w:ascii="Arial" w:hAnsi="Arial" w:cs="Arial"/>
          <w:b/>
          <w:kern w:val="0"/>
          <w:sz w:val="20"/>
          <w:szCs w:val="20"/>
        </w:rPr>
      </w:pPr>
    </w:p>
    <w:p w:rsidR="00B3451F" w:rsidRPr="00B3451F" w:rsidRDefault="00B3451F" w:rsidP="00B3451F">
      <w:pPr>
        <w:tabs>
          <w:tab w:val="left" w:pos="567"/>
        </w:tabs>
        <w:spacing w:after="0" w:line="240" w:lineRule="auto"/>
        <w:rPr>
          <w:rFonts w:ascii="Arial" w:hAnsi="Arial" w:cs="Arial"/>
          <w:b/>
          <w:kern w:val="0"/>
          <w:sz w:val="20"/>
          <w:szCs w:val="20"/>
        </w:rPr>
      </w:pPr>
      <w:r w:rsidRPr="00B3451F">
        <w:rPr>
          <w:rFonts w:ascii="Arial" w:hAnsi="Arial" w:cs="Arial"/>
          <w:b/>
          <w:kern w:val="0"/>
          <w:sz w:val="20"/>
          <w:szCs w:val="20"/>
        </w:rPr>
        <w:t>Figura 1</w:t>
      </w:r>
    </w:p>
    <w:p w:rsidR="00B3451F" w:rsidRPr="00B3451F" w:rsidRDefault="00B3451F" w:rsidP="00B3451F">
      <w:pPr>
        <w:tabs>
          <w:tab w:val="left" w:pos="567"/>
        </w:tabs>
        <w:spacing w:after="0" w:line="240" w:lineRule="auto"/>
        <w:rPr>
          <w:rFonts w:ascii="Arial" w:hAnsi="Arial" w:cs="Arial"/>
          <w:bCs/>
          <w:i/>
          <w:iCs/>
          <w:kern w:val="0"/>
          <w:sz w:val="20"/>
          <w:szCs w:val="20"/>
        </w:rPr>
      </w:pPr>
      <w:r w:rsidRPr="00B3451F">
        <w:rPr>
          <w:rFonts w:ascii="Arial" w:hAnsi="Arial" w:cs="Arial"/>
          <w:bCs/>
          <w:i/>
          <w:iCs/>
          <w:kern w:val="0"/>
          <w:sz w:val="20"/>
          <w:szCs w:val="20"/>
        </w:rPr>
        <w:t>Diagrama de flujo de acuerdo a Prisma</w:t>
      </w:r>
    </w:p>
    <w:p w:rsidR="00B3451F" w:rsidRPr="00B3451F" w:rsidRDefault="00B55A37" w:rsidP="00B3451F">
      <w:pPr>
        <w:spacing w:after="0" w:line="240" w:lineRule="auto"/>
        <w:rPr>
          <w:rFonts w:ascii="Arial" w:eastAsia="Times New Roman" w:hAnsi="Arial" w:cs="Arial"/>
          <w:kern w:val="0"/>
          <w:sz w:val="20"/>
          <w:szCs w:val="20"/>
          <w:lang w:bidi="en-US"/>
        </w:rPr>
      </w:pPr>
      <w:r w:rsidRPr="00B3451F">
        <w:rPr>
          <w:rFonts w:ascii="Arial" w:hAnsi="Arial" w:cs="Arial"/>
          <w:noProof/>
          <w:kern w:val="0"/>
          <w:sz w:val="20"/>
          <w:szCs w:val="20"/>
          <w:lang w:val="en-US"/>
        </w:rPr>
        <mc:AlternateContent>
          <mc:Choice Requires="wps">
            <w:drawing>
              <wp:anchor distT="45720" distB="45720" distL="114300" distR="114300" simplePos="0" relativeHeight="251666432" behindDoc="0" locked="0" layoutInCell="1" allowOverlap="1" wp14:anchorId="15BAB595" wp14:editId="36D4DABD">
                <wp:simplePos x="0" y="0"/>
                <wp:positionH relativeFrom="leftMargin">
                  <wp:posOffset>732790</wp:posOffset>
                </wp:positionH>
                <wp:positionV relativeFrom="paragraph">
                  <wp:posOffset>372745</wp:posOffset>
                </wp:positionV>
                <wp:extent cx="1034415" cy="317500"/>
                <wp:effectExtent l="0" t="3492" r="9842" b="9843"/>
                <wp:wrapNone/>
                <wp:docPr id="1982532592"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034415" cy="317500"/>
                        </a:xfrm>
                        <a:prstGeom prst="rect">
                          <a:avLst/>
                        </a:prstGeom>
                        <a:solidFill>
                          <a:srgbClr val="FFFFFF"/>
                        </a:solidFill>
                        <a:ln w="9525">
                          <a:solidFill>
                            <a:srgbClr val="000000"/>
                          </a:solidFill>
                          <a:miter lim="800000"/>
                          <a:headEnd/>
                          <a:tailEnd/>
                        </a:ln>
                      </wps:spPr>
                      <wps:txbx>
                        <w:txbxContent>
                          <w:p w:rsidR="00B3451F" w:rsidRPr="00D30555" w:rsidRDefault="00B3451F" w:rsidP="00B3451F">
                            <w:pPr>
                              <w:rPr>
                                <w:rFonts w:ascii="Times New Roman" w:hAnsi="Times New Roman"/>
                                <w:sz w:val="20"/>
                                <w:szCs w:val="20"/>
                              </w:rPr>
                            </w:pPr>
                            <w:r w:rsidRPr="00D30555">
                              <w:rPr>
                                <w:rFonts w:ascii="Times New Roman" w:hAnsi="Times New Roman"/>
                                <w:sz w:val="20"/>
                                <w:szCs w:val="20"/>
                              </w:rPr>
                              <w:t>Identificación</w:t>
                            </w:r>
                          </w:p>
                          <w:p w:rsidR="00B3451F" w:rsidRPr="00D30555" w:rsidRDefault="00B3451F" w:rsidP="00B3451F">
                            <w:pPr>
                              <w:rPr>
                                <w:rFonts w:ascii="Times New Roman" w:hAnsi="Times New Roman"/>
                                <w:sz w:val="20"/>
                                <w:szCs w:val="20"/>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5BAB595" id="Cuadro de texto 1" o:spid="_x0000_s1032" type="#_x0000_t202" style="position:absolute;margin-left:57.7pt;margin-top:29.35pt;width:81.45pt;height:25pt;rotation:-90;z-index:251666432;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">
                <v:textbox style="layout-flow:vertical;mso-layout-flow-alt:bottom-to-top">
                  <w:txbxContent>
                    <w:p w:rsidR="00B3451F" w:rsidRPr="00D30555" w:rsidRDefault="00B3451F" w:rsidP="00B3451F">
                      <w:pPr>
                        <w:rPr>
                          <w:rFonts w:ascii="Times New Roman" w:hAnsi="Times New Roman"/>
                          <w:sz w:val="20"/>
                          <w:szCs w:val="20"/>
                        </w:rPr>
                      </w:pPr>
                      <w:r w:rsidRPr="00D30555">
                        <w:rPr>
                          <w:rFonts w:ascii="Times New Roman" w:hAnsi="Times New Roman"/>
                          <w:sz w:val="20"/>
                          <w:szCs w:val="20"/>
                        </w:rPr>
                        <w:t>Identificación</w:t>
                      </w:r>
                    </w:p>
                    <w:p w:rsidR="00B3451F" w:rsidRPr="00D30555" w:rsidRDefault="00B3451F" w:rsidP="00B3451F">
                      <w:pPr>
                        <w:rPr>
                          <w:rFonts w:ascii="Times New Roman" w:hAnsi="Times New Roman"/>
                          <w:sz w:val="20"/>
                          <w:szCs w:val="20"/>
                        </w:rPr>
                      </w:pPr>
                    </w:p>
                  </w:txbxContent>
                </v:textbox>
                <w10:wrap anchorx="margin"/>
              </v:shape>
            </w:pict>
          </mc:Fallback>
        </mc:AlternateContent>
      </w:r>
      <w:r w:rsidR="00B3451F" w:rsidRPr="00B3451F">
        <w:rPr>
          <w:rFonts w:ascii="Arial" w:hAnsi="Arial" w:cs="Arial"/>
          <w:noProof/>
          <w:kern w:val="0"/>
          <w:sz w:val="20"/>
          <w:szCs w:val="20"/>
          <w:lang w:val="en-US"/>
        </w:rPr>
        <mc:AlternateContent>
          <mc:Choice Requires="wps">
            <w:drawing>
              <wp:anchor distT="45720" distB="45720" distL="114300" distR="114300" simplePos="0" relativeHeight="251663360" behindDoc="0" locked="0" layoutInCell="1" allowOverlap="1" wp14:anchorId="1ED854B0" wp14:editId="6C35971C">
                <wp:simplePos x="0" y="0"/>
                <wp:positionH relativeFrom="leftMargin">
                  <wp:posOffset>679450</wp:posOffset>
                </wp:positionH>
                <wp:positionV relativeFrom="paragraph">
                  <wp:posOffset>4364355</wp:posOffset>
                </wp:positionV>
                <wp:extent cx="1023620" cy="317500"/>
                <wp:effectExtent l="0" t="361950" r="0" b="349250"/>
                <wp:wrapNone/>
                <wp:docPr id="58967914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023620" cy="317500"/>
                        </a:xfrm>
                        <a:prstGeom prst="rect">
                          <a:avLst/>
                        </a:prstGeom>
                        <a:solidFill>
                          <a:srgbClr val="FFFFFF"/>
                        </a:solidFill>
                        <a:ln w="9525">
                          <a:solidFill>
                            <a:srgbClr val="000000"/>
                          </a:solidFill>
                          <a:miter lim="800000"/>
                          <a:headEnd/>
                          <a:tailEnd/>
                        </a:ln>
                      </wps:spPr>
                      <wps:txbx>
                        <w:txbxContent>
                          <w:p w:rsidR="00B3451F" w:rsidRPr="00D30555" w:rsidRDefault="00B3451F" w:rsidP="00B3451F">
                            <w:pPr>
                              <w:jc w:val="center"/>
                              <w:rPr>
                                <w:rFonts w:ascii="Times New Roman" w:hAnsi="Times New Roman"/>
                                <w:sz w:val="20"/>
                                <w:szCs w:val="20"/>
                              </w:rPr>
                            </w:pPr>
                            <w:r w:rsidRPr="00D30555">
                              <w:rPr>
                                <w:rFonts w:ascii="Times New Roman" w:hAnsi="Times New Roman"/>
                                <w:sz w:val="20"/>
                                <w:szCs w:val="20"/>
                              </w:rPr>
                              <w:t>Inclusión</w:t>
                            </w:r>
                          </w:p>
                          <w:p w:rsidR="00B3451F" w:rsidRPr="00D30555" w:rsidRDefault="00B3451F" w:rsidP="00B3451F">
                            <w:pPr>
                              <w:rPr>
                                <w:rFonts w:ascii="Times New Roman" w:hAnsi="Times New Roman"/>
                                <w:sz w:val="20"/>
                                <w:szCs w:val="20"/>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D854B0" id="Cuadro de texto 7" o:spid="_x0000_s1033" type="#_x0000_t202" style="position:absolute;margin-left:53.5pt;margin-top:343.65pt;width:80.6pt;height:25pt;rotation:-90;z-index:251663360;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">
                <v:textbox style="layout-flow:vertical;mso-layout-flow-alt:bottom-to-top">
                  <w:txbxContent>
                    <w:p w:rsidR="00B3451F" w:rsidRPr="00D30555" w:rsidRDefault="00B3451F" w:rsidP="00B3451F">
                      <w:pPr>
                        <w:jc w:val="center"/>
                        <w:rPr>
                          <w:rFonts w:ascii="Times New Roman" w:hAnsi="Times New Roman"/>
                          <w:sz w:val="20"/>
                          <w:szCs w:val="20"/>
                        </w:rPr>
                      </w:pPr>
                      <w:r w:rsidRPr="00D30555">
                        <w:rPr>
                          <w:rFonts w:ascii="Times New Roman" w:hAnsi="Times New Roman"/>
                          <w:sz w:val="20"/>
                          <w:szCs w:val="20"/>
                        </w:rPr>
                        <w:t>Inclusión</w:t>
                      </w:r>
                    </w:p>
                    <w:p w:rsidR="00B3451F" w:rsidRPr="00D30555" w:rsidRDefault="00B3451F" w:rsidP="00B3451F">
                      <w:pPr>
                        <w:rPr>
                          <w:rFonts w:ascii="Times New Roman" w:hAnsi="Times New Roman"/>
                          <w:sz w:val="20"/>
                          <w:szCs w:val="20"/>
                        </w:rPr>
                      </w:pPr>
                    </w:p>
                  </w:txbxContent>
                </v:textbox>
                <w10:wrap anchorx="margin"/>
              </v:shape>
            </w:pict>
          </mc:Fallback>
        </mc:AlternateContent>
      </w:r>
      <w:r w:rsidR="00B3451F" w:rsidRPr="00B3451F">
        <w:rPr>
          <w:rFonts w:ascii="Arial" w:hAnsi="Arial" w:cs="Arial"/>
          <w:noProof/>
          <w:kern w:val="0"/>
          <w:sz w:val="20"/>
          <w:szCs w:val="20"/>
          <w:lang w:val="en-US"/>
        </w:rPr>
        <mc:AlternateContent>
          <mc:Choice Requires="wps">
            <w:drawing>
              <wp:anchor distT="45720" distB="45720" distL="114300" distR="114300" simplePos="0" relativeHeight="251665408" behindDoc="0" locked="0" layoutInCell="1" allowOverlap="1" wp14:anchorId="5EF30FB2" wp14:editId="2DAE09B0">
                <wp:simplePos x="0" y="0"/>
                <wp:positionH relativeFrom="leftMargin">
                  <wp:posOffset>635635</wp:posOffset>
                </wp:positionH>
                <wp:positionV relativeFrom="paragraph">
                  <wp:posOffset>3171190</wp:posOffset>
                </wp:positionV>
                <wp:extent cx="1098550" cy="317500"/>
                <wp:effectExtent l="0" t="400050" r="0" b="387350"/>
                <wp:wrapNone/>
                <wp:docPr id="1242722450"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098550" cy="317500"/>
                        </a:xfrm>
                        <a:prstGeom prst="rect">
                          <a:avLst/>
                        </a:prstGeom>
                        <a:solidFill>
                          <a:srgbClr val="FFFFFF"/>
                        </a:solidFill>
                        <a:ln w="9525">
                          <a:solidFill>
                            <a:srgbClr val="000000"/>
                          </a:solidFill>
                          <a:miter lim="800000"/>
                          <a:headEnd/>
                          <a:tailEnd/>
                        </a:ln>
                      </wps:spPr>
                      <wps:txbx>
                        <w:txbxContent>
                          <w:p w:rsidR="00B3451F" w:rsidRPr="00D30555" w:rsidRDefault="00B3451F" w:rsidP="00B3451F">
                            <w:pPr>
                              <w:jc w:val="center"/>
                              <w:rPr>
                                <w:rFonts w:ascii="Times New Roman" w:hAnsi="Times New Roman"/>
                                <w:sz w:val="20"/>
                                <w:szCs w:val="20"/>
                              </w:rPr>
                            </w:pPr>
                            <w:r w:rsidRPr="00D30555">
                              <w:rPr>
                                <w:rFonts w:ascii="Times New Roman" w:hAnsi="Times New Roman"/>
                                <w:sz w:val="20"/>
                                <w:szCs w:val="20"/>
                              </w:rPr>
                              <w:t>Idoneidad</w:t>
                            </w:r>
                          </w:p>
                          <w:p w:rsidR="00B3451F" w:rsidRPr="00D30555" w:rsidRDefault="00B3451F" w:rsidP="00B3451F">
                            <w:pPr>
                              <w:rPr>
                                <w:sz w:val="20"/>
                                <w:szCs w:val="20"/>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F30FB2" id="_x0000_s1034" type="#_x0000_t202" style="position:absolute;margin-left:50.05pt;margin-top:249.7pt;width:86.5pt;height:25pt;rotation:-90;z-index:251665408;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">
                <v:textbox style="layout-flow:vertical;mso-layout-flow-alt:bottom-to-top">
                  <w:txbxContent>
                    <w:p w:rsidR="00B3451F" w:rsidRPr="00D30555" w:rsidRDefault="00B3451F" w:rsidP="00B3451F">
                      <w:pPr>
                        <w:jc w:val="center"/>
                        <w:rPr>
                          <w:rFonts w:ascii="Times New Roman" w:hAnsi="Times New Roman"/>
                          <w:sz w:val="20"/>
                          <w:szCs w:val="20"/>
                        </w:rPr>
                      </w:pPr>
                      <w:r w:rsidRPr="00D30555">
                        <w:rPr>
                          <w:rFonts w:ascii="Times New Roman" w:hAnsi="Times New Roman"/>
                          <w:sz w:val="20"/>
                          <w:szCs w:val="20"/>
                        </w:rPr>
                        <w:t>Idoneidad</w:t>
                      </w:r>
                    </w:p>
                    <w:p w:rsidR="00B3451F" w:rsidRPr="00D30555" w:rsidRDefault="00B3451F" w:rsidP="00B3451F">
                      <w:pPr>
                        <w:rPr>
                          <w:sz w:val="20"/>
                          <w:szCs w:val="20"/>
                        </w:rPr>
                      </w:pPr>
                    </w:p>
                  </w:txbxContent>
                </v:textbox>
                <w10:wrap anchorx="margin"/>
              </v:shape>
            </w:pict>
          </mc:Fallback>
        </mc:AlternateContent>
      </w:r>
      <w:r w:rsidRPr="00B3451F">
        <w:rPr>
          <w:rFonts w:ascii="Arial" w:hAnsi="Arial" w:cs="Arial"/>
          <w:noProof/>
          <w:kern w:val="0"/>
          <w:sz w:val="20"/>
          <w:szCs w:val="20"/>
          <w:lang w:val="en-US"/>
        </w:rPr>
        <mc:AlternateContent>
          <mc:Choice Requires="wps">
            <w:drawing>
              <wp:anchor distT="45720" distB="45720" distL="114300" distR="114300" simplePos="0" relativeHeight="251664384" behindDoc="0" locked="0" layoutInCell="1" allowOverlap="1" wp14:anchorId="08B67F9B" wp14:editId="5C4A088A">
                <wp:simplePos x="0" y="0"/>
                <wp:positionH relativeFrom="leftMargin">
                  <wp:posOffset>667386</wp:posOffset>
                </wp:positionH>
                <wp:positionV relativeFrom="paragraph">
                  <wp:posOffset>1697990</wp:posOffset>
                </wp:positionV>
                <wp:extent cx="1098550" cy="317500"/>
                <wp:effectExtent l="0" t="400050" r="0" b="387350"/>
                <wp:wrapNone/>
                <wp:docPr id="411350184"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1098550" cy="317500"/>
                        </a:xfrm>
                        <a:prstGeom prst="rect">
                          <a:avLst/>
                        </a:prstGeom>
                        <a:solidFill>
                          <a:srgbClr val="FFFFFF"/>
                        </a:solidFill>
                        <a:ln w="9525">
                          <a:solidFill>
                            <a:srgbClr val="000000"/>
                          </a:solidFill>
                          <a:miter lim="800000"/>
                          <a:headEnd/>
                          <a:tailEnd/>
                        </a:ln>
                      </wps:spPr>
                      <wps:txbx>
                        <w:txbxContent>
                          <w:p w:rsidR="00B3451F" w:rsidRPr="00D30555" w:rsidRDefault="00B3451F" w:rsidP="00B3451F">
                            <w:pPr>
                              <w:jc w:val="center"/>
                              <w:rPr>
                                <w:rFonts w:ascii="Times New Roman" w:hAnsi="Times New Roman"/>
                                <w:sz w:val="20"/>
                                <w:szCs w:val="20"/>
                              </w:rPr>
                            </w:pPr>
                            <w:r w:rsidRPr="00D30555">
                              <w:rPr>
                                <w:rFonts w:ascii="Times New Roman" w:hAnsi="Times New Roman"/>
                                <w:sz w:val="20"/>
                                <w:szCs w:val="20"/>
                              </w:rPr>
                              <w:t>Cribado</w:t>
                            </w:r>
                          </w:p>
                          <w:p w:rsidR="00B3451F" w:rsidRPr="00D30555" w:rsidRDefault="00B3451F" w:rsidP="00B3451F">
                            <w:pPr>
                              <w:rPr>
                                <w:sz w:val="20"/>
                                <w:szCs w:val="20"/>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8B67F9B" id="Cuadro de texto 3" o:spid="_x0000_s1035" type="#_x0000_t202" style="position:absolute;margin-left:52.55pt;margin-top:133.7pt;width:86.5pt;height:25pt;rotation:-90;z-index:251664384;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">
                <v:textbox style="layout-flow:vertical;mso-layout-flow-alt:bottom-to-top">
                  <w:txbxContent>
                    <w:p w:rsidR="00B3451F" w:rsidRPr="00D30555" w:rsidRDefault="00B3451F" w:rsidP="00B3451F">
                      <w:pPr>
                        <w:jc w:val="center"/>
                        <w:rPr>
                          <w:rFonts w:ascii="Times New Roman" w:hAnsi="Times New Roman"/>
                          <w:sz w:val="20"/>
                          <w:szCs w:val="20"/>
                        </w:rPr>
                      </w:pPr>
                      <w:r w:rsidRPr="00D30555">
                        <w:rPr>
                          <w:rFonts w:ascii="Times New Roman" w:hAnsi="Times New Roman"/>
                          <w:sz w:val="20"/>
                          <w:szCs w:val="20"/>
                        </w:rPr>
                        <w:t>Cribado</w:t>
                      </w:r>
                    </w:p>
                    <w:p w:rsidR="00B3451F" w:rsidRPr="00D30555" w:rsidRDefault="00B3451F" w:rsidP="00B3451F">
                      <w:pPr>
                        <w:rPr>
                          <w:sz w:val="20"/>
                          <w:szCs w:val="20"/>
                        </w:rPr>
                      </w:pPr>
                    </w:p>
                  </w:txbxContent>
                </v:textbox>
                <w10:wrap anchorx="margin"/>
              </v:shape>
            </w:pict>
          </mc:Fallback>
        </mc:AlternateContent>
      </w:r>
      <w:r w:rsidR="00B542A6" w:rsidRPr="00B3451F">
        <w:rPr>
          <w:rFonts w:ascii="Arial" w:hAnsi="Arial" w:cs="Arial"/>
          <w:b/>
          <w:bCs/>
          <w:noProof/>
          <w:kern w:val="0"/>
          <w:sz w:val="20"/>
          <w:szCs w:val="20"/>
          <w:lang w:val="en-US"/>
        </w:rPr>
        <w:drawing>
          <wp:inline distT="0" distB="0" distL="0" distR="0" wp14:anchorId="1F368EEB" wp14:editId="0B159FB9">
            <wp:extent cx="5395843" cy="5115208"/>
            <wp:effectExtent l="0" t="0" r="0" b="9525"/>
            <wp:docPr id="13" name="Diagrama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B3451F" w:rsidRPr="00B3451F" w:rsidRDefault="00B3451F" w:rsidP="00B3451F">
      <w:pPr>
        <w:spacing w:after="0" w:line="240" w:lineRule="auto"/>
        <w:contextualSpacing/>
        <w:rPr>
          <w:rFonts w:ascii="Arial" w:hAnsi="Arial" w:cs="Arial"/>
          <w:b/>
          <w:kern w:val="0"/>
          <w:sz w:val="20"/>
          <w:szCs w:val="20"/>
        </w:rPr>
      </w:pPr>
      <w:r w:rsidRPr="00B3451F">
        <w:rPr>
          <w:rFonts w:ascii="Arial" w:hAnsi="Arial" w:cs="Arial"/>
          <w:kern w:val="0"/>
          <w:sz w:val="20"/>
          <w:szCs w:val="20"/>
        </w:rPr>
        <w:t>*Tabla trabajada sobre formato de PRISMA con datos propios</w:t>
      </w:r>
    </w:p>
    <w:p w:rsidR="00B3451F" w:rsidRPr="00B3451F" w:rsidRDefault="00B3451F" w:rsidP="00B3451F">
      <w:pPr>
        <w:spacing w:after="0" w:line="240" w:lineRule="auto"/>
        <w:ind w:firstLine="709"/>
        <w:jc w:val="both"/>
        <w:rPr>
          <w:rFonts w:ascii="Arial" w:hAnsi="Arial" w:cs="Arial"/>
          <w:sz w:val="20"/>
          <w:szCs w:val="20"/>
        </w:rPr>
      </w:pPr>
    </w:p>
    <w:p w:rsidR="00A62C94" w:rsidRDefault="00683E7D" w:rsidP="00E271E2">
      <w:pPr>
        <w:spacing w:after="0" w:line="240" w:lineRule="auto"/>
        <w:jc w:val="both"/>
        <w:rPr>
          <w:rFonts w:ascii="Arial" w:hAnsi="Arial" w:cs="Arial"/>
          <w:b/>
          <w:bCs/>
        </w:rPr>
      </w:pPr>
      <w:r w:rsidRPr="00E271E2">
        <w:rPr>
          <w:rFonts w:ascii="Arial" w:hAnsi="Arial" w:cs="Arial"/>
          <w:b/>
          <w:bCs/>
        </w:rPr>
        <w:t>Resultados</w:t>
      </w:r>
    </w:p>
    <w:p w:rsidR="00A62C94" w:rsidRDefault="00A62C94" w:rsidP="00E271E2">
      <w:pPr>
        <w:spacing w:after="0" w:line="240" w:lineRule="auto"/>
        <w:jc w:val="both"/>
        <w:rPr>
          <w:rFonts w:ascii="Arial" w:hAnsi="Arial" w:cs="Arial"/>
          <w:b/>
          <w:bCs/>
        </w:rPr>
      </w:pPr>
    </w:p>
    <w:p w:rsidR="00A62C94" w:rsidRPr="00A62C94" w:rsidRDefault="00A62C94" w:rsidP="00A62C94">
      <w:pPr>
        <w:spacing w:after="0" w:line="240" w:lineRule="auto"/>
        <w:jc w:val="both"/>
        <w:rPr>
          <w:rFonts w:ascii="Arial" w:hAnsi="Arial" w:cs="Arial"/>
          <w:b/>
          <w:bCs/>
          <w:sz w:val="20"/>
          <w:szCs w:val="20"/>
        </w:rPr>
      </w:pPr>
      <w:r w:rsidRPr="00A62C94">
        <w:rPr>
          <w:rFonts w:ascii="Arial" w:hAnsi="Arial" w:cs="Arial"/>
          <w:b/>
          <w:bCs/>
          <w:sz w:val="20"/>
          <w:szCs w:val="20"/>
        </w:rPr>
        <w:t>Tabla 2</w:t>
      </w:r>
    </w:p>
    <w:p w:rsidR="00683E7D" w:rsidRPr="00A62C94" w:rsidRDefault="00A62C94" w:rsidP="00A62C94">
      <w:pPr>
        <w:spacing w:after="0" w:line="240" w:lineRule="auto"/>
        <w:jc w:val="both"/>
        <w:rPr>
          <w:rFonts w:ascii="Arial" w:hAnsi="Arial" w:cs="Arial"/>
          <w:bCs/>
          <w:i/>
          <w:sz w:val="20"/>
          <w:szCs w:val="20"/>
        </w:rPr>
      </w:pPr>
      <w:r w:rsidRPr="00A62C94">
        <w:rPr>
          <w:rFonts w:ascii="Arial" w:hAnsi="Arial" w:cs="Arial"/>
          <w:bCs/>
          <w:i/>
          <w:sz w:val="20"/>
          <w:szCs w:val="20"/>
        </w:rPr>
        <w:t>Implicancias de estrategias didácticas para el aprendizaje</w:t>
      </w:r>
      <w:r w:rsidR="00683E7D" w:rsidRPr="00A62C94">
        <w:rPr>
          <w:rFonts w:ascii="Arial" w:hAnsi="Arial" w:cs="Arial"/>
          <w:bCs/>
          <w:i/>
          <w:sz w:val="20"/>
          <w:szCs w:val="20"/>
        </w:rPr>
        <w:t xml:space="preserve"> </w:t>
      </w:r>
    </w:p>
    <w:tbl>
      <w:tblPr>
        <w:tblStyle w:val="TableGrid"/>
        <w:tblW w:w="9072"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8"/>
        <w:gridCol w:w="2247"/>
        <w:gridCol w:w="3002"/>
        <w:gridCol w:w="3035"/>
      </w:tblGrid>
      <w:tr w:rsidR="00F51940" w:rsidRPr="00F51940" w:rsidTr="00691C06">
        <w:tc>
          <w:tcPr>
            <w:tcW w:w="788" w:type="dxa"/>
            <w:tcBorders>
              <w:top w:val="single" w:sz="4" w:space="0" w:color="auto"/>
              <w:bottom w:val="single" w:sz="4" w:space="0" w:color="auto"/>
            </w:tcBorders>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N</w:t>
            </w:r>
          </w:p>
        </w:tc>
        <w:tc>
          <w:tcPr>
            <w:tcW w:w="2247" w:type="dxa"/>
            <w:tcBorders>
              <w:top w:val="single" w:sz="4" w:space="0" w:color="auto"/>
              <w:bottom w:val="single" w:sz="4" w:space="0" w:color="auto"/>
            </w:tcBorders>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Autor</w:t>
            </w:r>
          </w:p>
        </w:tc>
        <w:tc>
          <w:tcPr>
            <w:tcW w:w="6037" w:type="dxa"/>
            <w:gridSpan w:val="2"/>
            <w:tcBorders>
              <w:top w:val="single" w:sz="4" w:space="0" w:color="auto"/>
              <w:bottom w:val="single" w:sz="4" w:space="0" w:color="auto"/>
            </w:tcBorders>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Implicancias de las estrategias didácticas para el aprendizaje</w:t>
            </w:r>
          </w:p>
        </w:tc>
      </w:tr>
      <w:tr w:rsidR="00F51940" w:rsidRPr="00F51940" w:rsidTr="00691C06">
        <w:tc>
          <w:tcPr>
            <w:tcW w:w="788" w:type="dxa"/>
            <w:tcBorders>
              <w:top w:val="single" w:sz="4" w:space="0" w:color="auto"/>
            </w:tcBorders>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w:t>
            </w:r>
          </w:p>
        </w:tc>
        <w:tc>
          <w:tcPr>
            <w:tcW w:w="2247" w:type="dxa"/>
            <w:tcBorders>
              <w:top w:val="single" w:sz="4" w:space="0" w:color="auto"/>
            </w:tcBorders>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Hernández-Herrera (2024).</w:t>
            </w:r>
          </w:p>
        </w:tc>
        <w:tc>
          <w:tcPr>
            <w:tcW w:w="6037" w:type="dxa"/>
            <w:gridSpan w:val="2"/>
            <w:tcBorders>
              <w:top w:val="single" w:sz="4" w:space="0" w:color="auto"/>
            </w:tcBorders>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La virtualización impulsada por la pandemia de la COVID-19 exigió transformaciones en la mediación pedagógica, especialmente en la formación práctica. En el caso de la Práctica Profesional Preescolar de la UNED, las estrategias didácticas implementadas desde entornos virtuales demostraron ser eficaces para fortalecer los vínculos pedagógicos. Estos vínculos se consolidan cuando el docente reconoce al estudiante como un sujeto activo, promueve su participación, respeta su individualidad y propicia una conexión significativa con el objeto de aprendizaje.</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2</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lang w:val="pt-BR"/>
              </w:rPr>
              <w:t xml:space="preserve">Schneider et al. </w:t>
            </w:r>
            <w:r w:rsidRPr="00F51940">
              <w:rPr>
                <w:rFonts w:ascii="Arial" w:hAnsi="Arial" w:cs="Arial"/>
                <w:sz w:val="20"/>
                <w:szCs w:val="20"/>
              </w:rPr>
              <w:t>(2024).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La desmotivación estudiantil en el aprendizaje de Física representa un reto constante para los docentes. Sin embargo, la implementación de estrategias innovadoras como el Role-Playing Game (RPG) puede fomentar la autonomía y mejorar la calidad motivacional del alumnado. A través de una intervención didáctica estructurada con base en la Teoría de la Autodeterminación, se evidenció que los estudiantes pueden asumir un rol más activo y comprometido en su proceso de aprendizaje cuando se integran propuestas lúdicas y significativas. Esto demuestra que es posible transformar el entorno educativo con estrategias que potencien el interés y la participación.</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3</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lang w:val="pt-BR"/>
              </w:rPr>
              <w:t xml:space="preserve">Inorreta et al. </w:t>
            </w:r>
            <w:r w:rsidRPr="00F51940">
              <w:rPr>
                <w:rFonts w:ascii="Arial" w:hAnsi="Arial" w:cs="Arial"/>
                <w:sz w:val="20"/>
                <w:szCs w:val="20"/>
              </w:rPr>
              <w:t>(2024).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El análisis de la práctica docente en la enseñanza de la Inducción Electromagnética evidencia que el rol activo del profesor como guía puede favorecer significativamente el aprendizaje significativo. A través de estrategias didácticas organizadas por etapas (inicio, desarrollo, aplicación y síntesis), se promovió la participación estudiantil, la clarificación de ideas y la aplicación de conceptos en la resolución de problemas. Aunque se detectaron oportunidades de mejora, como fomentar el intercambio entre pares y una mayor autonomía, se concluye que este tipo de intervención facilita una comprensión más profunda y coherente con el conocimiento científico.</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4</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Bernal-Ruiz et al.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La comprensión lectora es esencial en el rendimiento escolar, y esta investigación demuestra que distintas funciones ejecutivas tienen un impacto diferenciado en sus dimensiones. La inhibición cognitiva influye en la comprensión textual, la inhibición conductual en la comprensión pragmática y general, y la flexibilidad cognitiva en la comprensión crítica y total. Estos resultados evidencian la necesidad de que los docentes consideren las habilidades cognitivas al diseñar estrategias pedagógicas que fortalezcan la comprensión lectora de manera integral.</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5</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Sánchez et al.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Este estudio analiza las estrategias de enseñanza de los docentes de física, enfocándose en cómo guían a los estudiantes para desarrollar habilidades de pensamiento, conocimientos y actitudes. A través de un enfoque didáctico para enseñar por competencias, se identificaron tres categorías clave: estrategias didácticas, recursos tecnológicos y seguimiento del aprendizaje. Los resultados muestran que el modelo de enseñanza impacta tanto la tasa de deserción como el éxito académico. Se destaca una preferencia por las estrategias tradicionales en lugar de las constructivistas, independientemente de la experiencia docente.</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6</w:t>
            </w:r>
          </w:p>
        </w:tc>
        <w:tc>
          <w:tcPr>
            <w:tcW w:w="2247" w:type="dxa"/>
          </w:tcPr>
          <w:p w:rsidR="00F51940" w:rsidRPr="00F51940" w:rsidRDefault="00F51940" w:rsidP="00311E21">
            <w:pPr>
              <w:spacing w:line="240" w:lineRule="auto"/>
              <w:contextualSpacing/>
              <w:jc w:val="both"/>
              <w:rPr>
                <w:rFonts w:ascii="Arial" w:hAnsi="Arial" w:cs="Arial"/>
                <w:sz w:val="20"/>
                <w:szCs w:val="20"/>
              </w:rPr>
            </w:pPr>
            <w:r w:rsidRPr="00F51940">
              <w:rPr>
                <w:rFonts w:ascii="Arial" w:hAnsi="Arial" w:cs="Arial"/>
                <w:sz w:val="20"/>
                <w:szCs w:val="20"/>
              </w:rPr>
              <w:t>Vélez et al.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En el contexto de la Sociedad del Conocimiento, el uso de plataformas y aplicaciones digitales se ha vuelto fundamental para potenciar el pensamiento lógico-matemático. Este estudio analiza las estrategias didácticas aplicadas por los docentes para mejorar las habilidades matemáticas de los estudiantes de Bachillerato General Unificado en la Unidad Educativa “Eidan Abel Erique Cercado”. A través de un enfoque mixto, se evaluó la destreza en pensamiento numérico y se realizaron entrevistas con los docentes. Los resultados evidencian una predisposición favorable hacia el uso de plataformas como Khan Academy, pero también señalan que las estrategias docentes actuales no logran estimular de manera consistente las habilidades numéricas de los estudiantes, quienes presentan un nivel insuficiente en la resolución de problemas matemáticos.</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7</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Tapullima-Mori et al.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 xml:space="preserve">La asesoría de tesis es crucial para el desarrollo académico, ya que permite a los estudiantes investigar y aportar al conocimiento en su área. Este estudio analiza las estrategias didácticas utilizadas por los docentes para fomentar competencias investigativas en estudiantes de educación superior. Se identificaron estrategias clave como el trabajo colaborativo, el estudio de casos, y el uso de recursos audiovisuales, entre otras. Además, se definieron las competencias investigativas como un conjunto de habilidades y actitudes necesarias para la formulación de problemas, el uso de software estadístico y la argumentación de resultados. Si bien estas estrategias favorecen el desarrollo de estas competencias, el compromiso y la disposición de los estudiantes son esenciales para su efectividad. </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8</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Van &amp; Rosa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Este estudio realizado en una institución de educación superior en Sudáfrica explora las estrategias de enseñanza más adecuadas para aulas híbridas, con el fin de integrar de manera efectiva a los estudiantes virtuales y presenciales para lograr los mejores resultados de aprendizaje. Los hallazgos indican que los docentes tienen un entendimiento limitado sobre las estrategias que pueden cerrar la brecha entre ambos grupos. Los resultados sugieren que las estrategias tradicionales no son suficientes y que se necesita un enfoque de enseñanza adaptado para integrar eficazmente a todos los estudiantes. Esta investigación subraya la importancia de capacitar a los docentes en estrategias centradas en el estudiante para lograr un aprendizaje óptimo en entornos híbridos.</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9</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Mohammedsaleh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La histología es una de las áreas más cruciales pero desafiantes en las ciencias de la salud. Este estudio, realizado con 100 estudiantes, identificó varias dificultades relacionadas con la comprensión de la materia, como la falta de habilidades en el uso de microscopios y el conocimiento insuficiente de la anatomía. Los estudiantes también mencionaron la complejidad de los nuevos términos y la falta de estrategias de enseñanza efectivas. Se concluyó que es necesario modificar las estrategias de enseñanza para incluir más tareas prácticas que fomenten el interés de los estudiantes y faciliten la comprensión de los conceptos histológicos. Los resultados sugieren que se deben realizar cambios en el currículo y en las metodologías de enseñanza para hacer la materia más accesible y atractiva.</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10</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Danielo &amp; Coleoni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Este estudio descriptivo analiza el proceso de aprendizaje de un estudiante de profesorado en física durante su práctica profesional, explorando tanto las dimensiones cognitivas como afectivas. A través de un enfoque cualitativo-interpretativo, se examinaron autoregistros escritos de seis clases, seleccionando cuatro ejemplos representativos para un análisis detallado. Los resultados destacan varios aspectos clave del saber docente, como la importancia de las preguntas disparadoras, el valor de las ideas de los estudiantes en la enseñanza y la sofisticación en la planificación utilizando guiones conjeturales. El estudio también resalta la influencia de los aspectos emocionales en los episodios de aprendizaje durante la práctica docente</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11</w:t>
            </w:r>
          </w:p>
        </w:tc>
        <w:tc>
          <w:tcPr>
            <w:tcW w:w="2247" w:type="dxa"/>
          </w:tcPr>
          <w:p w:rsidR="00F51940" w:rsidRPr="00F51940" w:rsidRDefault="00F51940" w:rsidP="00311E21">
            <w:pPr>
              <w:spacing w:line="240" w:lineRule="auto"/>
              <w:contextualSpacing/>
              <w:jc w:val="both"/>
              <w:rPr>
                <w:rFonts w:ascii="Arial" w:hAnsi="Arial" w:cs="Arial"/>
                <w:bCs/>
                <w:sz w:val="20"/>
                <w:szCs w:val="20"/>
                <w:lang w:val="pt-BR"/>
              </w:rPr>
            </w:pPr>
            <w:r w:rsidRPr="00F51940">
              <w:rPr>
                <w:rFonts w:ascii="Arial" w:hAnsi="Arial" w:cs="Arial"/>
                <w:sz w:val="20"/>
                <w:szCs w:val="20"/>
                <w:lang w:val="pt-BR"/>
              </w:rPr>
              <w:t>Gonçalves &amp; Cabral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 xml:space="preserve">Este estudio destaca la importancia de las experiencias de los licenciados en Física, ya que influencian directamente la educación básica. Sin embargo, la investigación ha mostrado que se presta poca atención a la enseñanza de conceptos y fenómenos de la Física Moderna y Contemporánea (FMC). Tras revisar seis tesis seleccionadas, se concluyó que aunque se presentaron propuestas para mejorar la enseñanza de la FMC, las posibilidades educativas de estas propuestas no fueron exploradas en profundidad, especialmente en cuanto a la transposición didáctica y las dificultades de aprendizaje. </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12</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Alvarado et al.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La investigación se centró en la creación de secuencias de aprendizaje (SdA) alineadas con los principios de la Nueva Escuela Mexicana (NEM), con el fin de mejorar la calidad educativa mediante la integración de diversas disciplinas. Utilizando un enfoque cualitativo, se colaboró con un grupo de 24 docentes de preescolar para diseñar, implementar y evaluar estas secuencias. Los resultados demostraron que las secuencias diseñadas favorecen el aprendizaje infantil, además de ofrecer estrategias docentes viables para su aplicación. Asimismo, se comprobó que este enfoque multiseriado es efectivo para cumplir con los principios de la NEM, promoviendo el trabajo interdisciplinario y por proyectos. En conclusión, la SdA propuesta es útil como modelo para el diseño de futuras secuencias de aprendizaje.</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13</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Van et al.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 xml:space="preserve">Se facilitó la interacción social y cognitiva a través de actividades colaborativas y monitoreo del progreso de los estudiantes. El análisis destacó el papel crucial de la presencia docente en la promoción de estos procesos en línea, contribuyendo a una mejor comprensión de su rol en la enseñanza en línea y ofreciendo información útil para el desarrollo de estrategias efectivas. </w:t>
            </w:r>
          </w:p>
          <w:p w:rsidR="00F51940" w:rsidRPr="00F51940" w:rsidRDefault="00F51940" w:rsidP="00311E21">
            <w:pPr>
              <w:spacing w:line="240" w:lineRule="auto"/>
              <w:contextualSpacing/>
              <w:jc w:val="both"/>
              <w:rPr>
                <w:rFonts w:ascii="Arial" w:hAnsi="Arial" w:cs="Arial"/>
                <w:bCs/>
                <w:sz w:val="20"/>
                <w:szCs w:val="20"/>
              </w:rPr>
            </w:pP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14</w:t>
            </w:r>
          </w:p>
        </w:tc>
        <w:tc>
          <w:tcPr>
            <w:tcW w:w="2247" w:type="dxa"/>
          </w:tcPr>
          <w:p w:rsidR="00F51940" w:rsidRPr="00F51940" w:rsidRDefault="00F51940" w:rsidP="00311E21">
            <w:pPr>
              <w:spacing w:line="240" w:lineRule="auto"/>
              <w:contextualSpacing/>
              <w:jc w:val="both"/>
              <w:rPr>
                <w:rFonts w:ascii="Arial" w:hAnsi="Arial" w:cs="Arial"/>
                <w:bCs/>
                <w:sz w:val="20"/>
                <w:szCs w:val="20"/>
                <w:lang w:val="en-US"/>
              </w:rPr>
            </w:pPr>
            <w:r w:rsidRPr="00F51940">
              <w:rPr>
                <w:rFonts w:ascii="Arial" w:hAnsi="Arial" w:cs="Arial"/>
                <w:sz w:val="20"/>
                <w:szCs w:val="20"/>
                <w:lang w:val="en-US"/>
              </w:rPr>
              <w:t>Schoenmaker et al.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 xml:space="preserve">Este estudio describe las estrategias de enseñanza utilizadas por fisioterapeutas en sesiones con niños que tienen DCD, aplicando la teoría OPTIMAL. Se identificó que los fisioterapeutas priorizan estrategias que promueven la autonomía y mejoran las expectativas, utilizando de manera equilibrada enfoques internos y externos de atención. Las estrategias suelen combinarse para optimizar los resultados. Estos hallazgos pueden guiar futuras investigaciones sobre la enseñanza motora eficaz para niños con DCD. </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15</w:t>
            </w:r>
          </w:p>
        </w:tc>
        <w:tc>
          <w:tcPr>
            <w:tcW w:w="2247" w:type="dxa"/>
          </w:tcPr>
          <w:p w:rsidR="00F51940" w:rsidRPr="00F51940" w:rsidRDefault="00F51940" w:rsidP="00311E21">
            <w:pPr>
              <w:spacing w:line="240" w:lineRule="auto"/>
              <w:contextualSpacing/>
              <w:jc w:val="both"/>
              <w:rPr>
                <w:rFonts w:ascii="Arial" w:hAnsi="Arial" w:cs="Arial"/>
                <w:bCs/>
                <w:sz w:val="20"/>
                <w:szCs w:val="20"/>
                <w:lang w:val="en-US"/>
              </w:rPr>
            </w:pPr>
            <w:r w:rsidRPr="00F51940">
              <w:rPr>
                <w:rFonts w:ascii="Arial" w:hAnsi="Arial" w:cs="Arial"/>
                <w:sz w:val="20"/>
                <w:szCs w:val="20"/>
                <w:lang w:val="en-US"/>
              </w:rPr>
              <w:t>Okougbo &amp; Okike (2021).</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 xml:space="preserve">El entrenamiento en ética contable es crucial para los futuros contadores, y diferentes métodos de enseñanza, tanto activos como pasivos, se aplican en la formación. Este estudio evaluó las preferencias de los estudiantes sobre los métodos que apoyan su toma de decisiones éticas. Los resultados mostraron que las estrategias de enseñanza activas fueron preferidas, lo que sugiere que estas son más efectivas para enseñar ética y mejorar la toma de decisiones éticas en los estudiantes. </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16</w:t>
            </w:r>
          </w:p>
        </w:tc>
        <w:tc>
          <w:tcPr>
            <w:tcW w:w="2247" w:type="dxa"/>
          </w:tcPr>
          <w:p w:rsidR="00F51940" w:rsidRPr="00F51940" w:rsidRDefault="00F51940" w:rsidP="00311E21">
            <w:pPr>
              <w:spacing w:line="240" w:lineRule="auto"/>
              <w:contextualSpacing/>
              <w:jc w:val="both"/>
              <w:rPr>
                <w:rFonts w:ascii="Arial" w:hAnsi="Arial" w:cs="Arial"/>
                <w:bCs/>
                <w:sz w:val="20"/>
                <w:szCs w:val="20"/>
                <w:lang w:val="pt-BR"/>
              </w:rPr>
            </w:pPr>
            <w:r w:rsidRPr="00F51940">
              <w:rPr>
                <w:rFonts w:ascii="Arial" w:hAnsi="Arial" w:cs="Arial"/>
                <w:sz w:val="20"/>
                <w:szCs w:val="20"/>
              </w:rPr>
              <w:t>Marinšek &amp; Lukman (2021).</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La investigación demuestra que no existe una relación directa entre la competencia motora y la creatividad motriz. Por lo tanto, es necesario emplear diferentes estrategias de enseñanza para desarrollar estas habilidades. La instrucción directa es adecuada para enseñar habilidades motoras, mientras que el aprendizaje basado en el juego, con menos instrucciones explícitas, fomenta la creatividad motriz.</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17</w:t>
            </w:r>
          </w:p>
        </w:tc>
        <w:tc>
          <w:tcPr>
            <w:tcW w:w="2247" w:type="dxa"/>
          </w:tcPr>
          <w:p w:rsidR="00F51940" w:rsidRPr="00F51940" w:rsidRDefault="00F51940" w:rsidP="00311E21">
            <w:pPr>
              <w:spacing w:line="240" w:lineRule="auto"/>
              <w:contextualSpacing/>
              <w:jc w:val="both"/>
              <w:rPr>
                <w:rFonts w:ascii="Arial" w:hAnsi="Arial" w:cs="Arial"/>
                <w:bCs/>
                <w:sz w:val="20"/>
                <w:szCs w:val="20"/>
                <w:lang w:val="en-US"/>
              </w:rPr>
            </w:pPr>
            <w:r w:rsidRPr="00F51940">
              <w:rPr>
                <w:rFonts w:ascii="Arial" w:hAnsi="Arial" w:cs="Arial"/>
                <w:sz w:val="20"/>
                <w:szCs w:val="20"/>
                <w:lang w:val="en-US"/>
              </w:rPr>
              <w:t>Madsen et al. (2025).</w:t>
            </w:r>
          </w:p>
        </w:tc>
        <w:tc>
          <w:tcPr>
            <w:tcW w:w="6037" w:type="dxa"/>
            <w:gridSpan w:val="2"/>
          </w:tcPr>
          <w:p w:rsidR="00F51940" w:rsidRPr="00F51940" w:rsidRDefault="00F51940" w:rsidP="00311E21">
            <w:pPr>
              <w:spacing w:line="240" w:lineRule="auto"/>
              <w:contextualSpacing/>
              <w:jc w:val="both"/>
              <w:rPr>
                <w:rFonts w:ascii="Arial" w:hAnsi="Arial" w:cs="Arial"/>
                <w:sz w:val="20"/>
                <w:szCs w:val="20"/>
              </w:rPr>
            </w:pPr>
            <w:r w:rsidRPr="00F51940">
              <w:rPr>
                <w:rFonts w:ascii="Arial" w:hAnsi="Arial" w:cs="Arial"/>
                <w:sz w:val="20"/>
                <w:szCs w:val="20"/>
              </w:rPr>
              <w:t>La investigación muestra cómo las estrategias de enseñanza para una educación física significativa en la primaria temprana se basan en principios inductivos que promueven la libertad, la curiosidad, la creatividad y el deseo de experimentar. Estas estrategias, como ampliar el currículo y usar el cuerpo como recurso didáctico, favorecen experiencias significativas para los alumnos, destacando la importancia de la involucración corporal en el proceso de aprendizaje</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18</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Ma &amp; Ma (2024).</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 xml:space="preserve">A través de la formulación de preguntas previas por parte de los docentes, el diseño de planes experimentales y la ejecución de tareas por los estudiantes, se busca mejorar el aprendizaje práctico y la investigación científica. Las sugerencias de los estudiantes, obtenidas mediante encuestas, permiten perfeccionar este enfoque interactivo, que refuerza la formación integral y la creatividad. </w:t>
            </w:r>
          </w:p>
        </w:tc>
      </w:tr>
      <w:tr w:rsidR="00F51940" w:rsidRPr="00F51940" w:rsidTr="00691C06">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19</w:t>
            </w:r>
          </w:p>
        </w:tc>
        <w:tc>
          <w:tcPr>
            <w:tcW w:w="2247" w:type="dxa"/>
          </w:tcPr>
          <w:p w:rsidR="00F51940" w:rsidRPr="00F51940" w:rsidRDefault="00F51940" w:rsidP="00311E21">
            <w:pPr>
              <w:spacing w:line="240" w:lineRule="auto"/>
              <w:contextualSpacing/>
              <w:jc w:val="both"/>
              <w:rPr>
                <w:rFonts w:ascii="Arial" w:hAnsi="Arial" w:cs="Arial"/>
                <w:bCs/>
                <w:sz w:val="20"/>
                <w:szCs w:val="20"/>
                <w:lang w:val="en-US"/>
              </w:rPr>
            </w:pPr>
            <w:r w:rsidRPr="00F51940">
              <w:rPr>
                <w:rFonts w:ascii="Arial" w:hAnsi="Arial" w:cs="Arial"/>
                <w:sz w:val="20"/>
                <w:szCs w:val="20"/>
                <w:lang w:val="en-US"/>
              </w:rPr>
              <w:t>Kulachai et al. (2025).</w:t>
            </w:r>
          </w:p>
        </w:tc>
        <w:tc>
          <w:tcPr>
            <w:tcW w:w="6037" w:type="dxa"/>
            <w:gridSpan w:val="2"/>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 xml:space="preserve">la innovación estudiantil no media la relación entre métodos de enseñanza y resultados, se sugiere explorar otros factores como la motivación o el entorno de aprendizaje óptimo. Se recomienda que los educadores integren técnicas innovadoras y que las instituciones inviertan en el desarrollo profesional y la inclusión curricular para mejorar los resultados académicos. </w:t>
            </w:r>
          </w:p>
        </w:tc>
      </w:tr>
      <w:tr w:rsidR="00F51940" w:rsidRPr="00F51940" w:rsidTr="00691C06">
        <w:trPr>
          <w:trHeight w:val="1474"/>
        </w:trPr>
        <w:tc>
          <w:tcPr>
            <w:tcW w:w="788"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20</w:t>
            </w:r>
          </w:p>
        </w:tc>
        <w:tc>
          <w:tcPr>
            <w:tcW w:w="2247" w:type="dxa"/>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sz w:val="20"/>
                <w:szCs w:val="20"/>
              </w:rPr>
              <w:t>Panganiban &amp; Kasari (2023).</w:t>
            </w:r>
          </w:p>
        </w:tc>
        <w:tc>
          <w:tcPr>
            <w:tcW w:w="6037" w:type="dxa"/>
            <w:gridSpan w:val="2"/>
            <w:tcBorders>
              <w:bottom w:val="nil"/>
            </w:tcBorders>
          </w:tcPr>
          <w:p w:rsidR="00F51940" w:rsidRPr="00F51940" w:rsidRDefault="00F51940" w:rsidP="00311E21">
            <w:pPr>
              <w:spacing w:line="240" w:lineRule="auto"/>
              <w:contextualSpacing/>
              <w:jc w:val="both"/>
              <w:rPr>
                <w:rFonts w:ascii="Arial" w:hAnsi="Arial" w:cs="Arial"/>
                <w:bCs/>
                <w:sz w:val="20"/>
                <w:szCs w:val="20"/>
              </w:rPr>
            </w:pPr>
            <w:r w:rsidRPr="00F51940">
              <w:rPr>
                <w:rFonts w:ascii="Arial" w:hAnsi="Arial" w:cs="Arial"/>
                <w:bCs/>
                <w:sz w:val="20"/>
                <w:szCs w:val="20"/>
              </w:rPr>
              <w:t xml:space="preserve">Se observó que las percepciones de los educadores sobre la controlabilidad de los comportamientos autistas influían en las estrategias utilizadas para fomentar la participación conjunta durante el juego. Sin embargo, los educadores que recibieron formación JASPER fueron capaces de adoptar nuevas estrategias de manera efectiva, independientemente de sus percepciones iniciales. </w:t>
            </w:r>
          </w:p>
        </w:tc>
      </w:tr>
      <w:tr w:rsidR="00F51940" w:rsidRPr="00F51940" w:rsidTr="00691C06">
        <w:trPr>
          <w:gridAfter w:val="1"/>
          <w:wAfter w:w="3035" w:type="dxa"/>
        </w:trPr>
        <w:tc>
          <w:tcPr>
            <w:tcW w:w="6037" w:type="dxa"/>
            <w:gridSpan w:val="3"/>
          </w:tcPr>
          <w:p w:rsidR="00F51940" w:rsidRPr="00F51940" w:rsidRDefault="00F51940" w:rsidP="00691C06">
            <w:pPr>
              <w:spacing w:line="240" w:lineRule="auto"/>
              <w:contextualSpacing/>
              <w:rPr>
                <w:rFonts w:ascii="Arial" w:hAnsi="Arial" w:cs="Arial"/>
                <w:bCs/>
                <w:sz w:val="20"/>
                <w:szCs w:val="20"/>
              </w:rPr>
            </w:pPr>
          </w:p>
        </w:tc>
      </w:tr>
    </w:tbl>
    <w:p w:rsidR="00683E7D" w:rsidRDefault="00683E7D" w:rsidP="00F51940">
      <w:pPr>
        <w:spacing w:after="0" w:line="240" w:lineRule="auto"/>
        <w:jc w:val="both"/>
        <w:rPr>
          <w:rFonts w:ascii="Arial" w:hAnsi="Arial" w:cs="Arial"/>
          <w:sz w:val="20"/>
          <w:szCs w:val="20"/>
        </w:rPr>
      </w:pPr>
    </w:p>
    <w:p w:rsidR="00074CDE" w:rsidRPr="00074CDE" w:rsidRDefault="00074CDE" w:rsidP="00074CDE">
      <w:pPr>
        <w:spacing w:after="0" w:line="240" w:lineRule="auto"/>
        <w:jc w:val="both"/>
        <w:rPr>
          <w:rFonts w:ascii="Arial" w:hAnsi="Arial" w:cs="Arial"/>
          <w:b/>
          <w:sz w:val="20"/>
          <w:szCs w:val="20"/>
        </w:rPr>
      </w:pPr>
      <w:r w:rsidRPr="00074CDE">
        <w:rPr>
          <w:rFonts w:ascii="Arial" w:hAnsi="Arial" w:cs="Arial"/>
          <w:b/>
          <w:sz w:val="20"/>
          <w:szCs w:val="20"/>
        </w:rPr>
        <w:t>Importancia de las estrategias didácticas para el aprendizaje</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El uso de entornos virtuales para el aprendizaje ha sido identificado como una herramienta clave para la mejora de los procesos educativos en diversas áreas. En el ámbito de la educación básica, un estudio sobre la enseñanza de la Física Moderna y Contemporánea evidenció que, si bien se han propuesto mejoras en su enseñanza, las posibilidades educativas de dichas propuestas no se han explorado en profundidad, particularmente en lo referido a la transposición didáctica y a las dificultades de aprendizaje. Esto indica que aún existe un amplio margen de mejora en la integración de enfoques innovadores, especialmente dentro de entornos virtuales que faciliten su implementación (</w:t>
      </w:r>
      <w:proofErr w:type="spellStart"/>
      <w:r w:rsidRPr="00074CDE">
        <w:rPr>
          <w:rFonts w:ascii="Arial" w:hAnsi="Arial" w:cs="Arial"/>
          <w:sz w:val="20"/>
          <w:szCs w:val="20"/>
        </w:rPr>
        <w:t>Gonçalves</w:t>
      </w:r>
      <w:proofErr w:type="spellEnd"/>
      <w:r w:rsidRPr="00074CDE">
        <w:rPr>
          <w:rFonts w:ascii="Arial" w:hAnsi="Arial" w:cs="Arial"/>
          <w:sz w:val="20"/>
          <w:szCs w:val="20"/>
        </w:rPr>
        <w:t xml:space="preserve"> et al., 2024).</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 xml:space="preserve">En el campo de la fisioterapia infantil, especialmente en niños con Trastorno del Desarrollo de la Coordinación (DCD), se identificó que el uso de estrategias basadas en la teoría </w:t>
      </w:r>
      <w:proofErr w:type="spellStart"/>
      <w:r w:rsidRPr="00074CDE">
        <w:rPr>
          <w:rFonts w:ascii="Arial" w:hAnsi="Arial" w:cs="Arial"/>
          <w:sz w:val="20"/>
          <w:szCs w:val="20"/>
        </w:rPr>
        <w:t>optimal</w:t>
      </w:r>
      <w:proofErr w:type="spellEnd"/>
      <w:r w:rsidRPr="00074CDE">
        <w:rPr>
          <w:rFonts w:ascii="Arial" w:hAnsi="Arial" w:cs="Arial"/>
          <w:sz w:val="20"/>
          <w:szCs w:val="20"/>
        </w:rPr>
        <w:t xml:space="preserve"> favorece el desarrollo motor. Los fisioterapeutas priorizan enfoques que promueven la autonomía y elevan las expectativas, equilibrando la atención interna y externa. Las tecnologías virtuales pueden potenciar estos enfoques al ofrecer ambientes controlados y personalizados para el aprendizaje motor (</w:t>
      </w:r>
      <w:proofErr w:type="spellStart"/>
      <w:r w:rsidRPr="00074CDE">
        <w:rPr>
          <w:rFonts w:ascii="Arial" w:hAnsi="Arial" w:cs="Arial"/>
          <w:sz w:val="20"/>
          <w:szCs w:val="20"/>
        </w:rPr>
        <w:t>Schoenmaker</w:t>
      </w:r>
      <w:proofErr w:type="spellEnd"/>
      <w:r w:rsidRPr="00074CDE">
        <w:rPr>
          <w:rFonts w:ascii="Arial" w:hAnsi="Arial" w:cs="Arial"/>
          <w:sz w:val="20"/>
          <w:szCs w:val="20"/>
        </w:rPr>
        <w:t xml:space="preserve"> et al., 2024).</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En cuanto a la formación ética en contabilidad, se observa que los estudiantes prefieren estrategias activas de enseñanza, las cuales resultan más eficaces para el desarrollo del pensamiento ético y la toma de decisiones. La integración de estas estrategias en entornos virtuales favorece una mejor comprensión y aplicación práctica de los contenidos (</w:t>
      </w:r>
      <w:proofErr w:type="spellStart"/>
      <w:r w:rsidRPr="00074CDE">
        <w:rPr>
          <w:rFonts w:ascii="Arial" w:hAnsi="Arial" w:cs="Arial"/>
          <w:sz w:val="20"/>
          <w:szCs w:val="20"/>
        </w:rPr>
        <w:t>Okougbo</w:t>
      </w:r>
      <w:proofErr w:type="spellEnd"/>
      <w:r w:rsidRPr="00074CDE">
        <w:rPr>
          <w:rFonts w:ascii="Arial" w:hAnsi="Arial" w:cs="Arial"/>
          <w:sz w:val="20"/>
          <w:szCs w:val="20"/>
        </w:rPr>
        <w:t xml:space="preserve"> et al., 2021).</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En el área de la educación física, se encontró que no existe una relación directa entre la competencia motora y la creatividad motriz, lo que sugiere la necesidad de aplicar estrategias distintas para cada habilidad. Mientras que la instrucción directa resulta adecuada para las habilidades motoras, el juego promueve la creatividad. Las plataformas virtuales, al incluir simulaciones y juegos interactivos, permiten integrar ambos enfoques de manera efectiva (</w:t>
      </w:r>
      <w:proofErr w:type="spellStart"/>
      <w:r w:rsidRPr="00074CDE">
        <w:rPr>
          <w:rFonts w:ascii="Arial" w:hAnsi="Arial" w:cs="Arial"/>
          <w:sz w:val="20"/>
          <w:szCs w:val="20"/>
        </w:rPr>
        <w:t>Marinšek</w:t>
      </w:r>
      <w:proofErr w:type="spellEnd"/>
      <w:r w:rsidRPr="00074CDE">
        <w:rPr>
          <w:rFonts w:ascii="Arial" w:hAnsi="Arial" w:cs="Arial"/>
          <w:sz w:val="20"/>
          <w:szCs w:val="20"/>
        </w:rPr>
        <w:t xml:space="preserve"> et al., 2021). De igual modo, estrategias que promueven la curiosidad, la creatividad y el uso del cuerpo como recurso han demostrado ser efectivas en la educación física en los primeros años de primaria, contribuyendo a experiencias de aprendizaje más significativas (</w:t>
      </w:r>
      <w:proofErr w:type="spellStart"/>
      <w:r w:rsidRPr="00074CDE">
        <w:rPr>
          <w:rFonts w:ascii="Arial" w:hAnsi="Arial" w:cs="Arial"/>
          <w:sz w:val="20"/>
          <w:szCs w:val="20"/>
        </w:rPr>
        <w:t>Madsen</w:t>
      </w:r>
      <w:proofErr w:type="spellEnd"/>
      <w:r w:rsidRPr="00074CDE">
        <w:rPr>
          <w:rFonts w:ascii="Arial" w:hAnsi="Arial" w:cs="Arial"/>
          <w:sz w:val="20"/>
          <w:szCs w:val="20"/>
        </w:rPr>
        <w:t xml:space="preserve"> et al., 2025).</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Asimismo, se ha demostrado que el uso de preguntas previas por parte del docente, así como la planificación de actividades experimentales, fortalecen la investigación y el aprendizaje práctico. La retroalimentación constante, facilitada por plataformas digitales, permite una interacción activa con los estudiantes y mejora su creatividad y pensamiento crítico (</w:t>
      </w:r>
      <w:proofErr w:type="spellStart"/>
      <w:r w:rsidRPr="00074CDE">
        <w:rPr>
          <w:rFonts w:ascii="Arial" w:hAnsi="Arial" w:cs="Arial"/>
          <w:sz w:val="20"/>
          <w:szCs w:val="20"/>
        </w:rPr>
        <w:t>Ma</w:t>
      </w:r>
      <w:proofErr w:type="spellEnd"/>
      <w:r w:rsidRPr="00074CDE">
        <w:rPr>
          <w:rFonts w:ascii="Arial" w:hAnsi="Arial" w:cs="Arial"/>
          <w:sz w:val="20"/>
          <w:szCs w:val="20"/>
        </w:rPr>
        <w:t xml:space="preserve"> et al., 2024).</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En lo referido a la innovación en el aprendizaje, se ha establecido que no basta con implementar métodos innovadores; también deben considerarse factores como la motivación estudiantil y la creación de entornos de aprendizaje adecuados. Los espacios virtuales personalizados pueden desempeñar un papel fundamental en este aspecto, especialmente si se integran técnicas pedagógicas innovadoras y se impulsa el desarrollo profesional docente (</w:t>
      </w:r>
      <w:proofErr w:type="spellStart"/>
      <w:r w:rsidRPr="00074CDE">
        <w:rPr>
          <w:rFonts w:ascii="Arial" w:hAnsi="Arial" w:cs="Arial"/>
          <w:sz w:val="20"/>
          <w:szCs w:val="20"/>
        </w:rPr>
        <w:t>Kulachai</w:t>
      </w:r>
      <w:proofErr w:type="spellEnd"/>
      <w:r w:rsidRPr="00074CDE">
        <w:rPr>
          <w:rFonts w:ascii="Arial" w:hAnsi="Arial" w:cs="Arial"/>
          <w:sz w:val="20"/>
          <w:szCs w:val="20"/>
        </w:rPr>
        <w:t xml:space="preserve"> et al., 2025).</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En el caso de estudiantes con autismo, las percepciones docentes sobre la capacidad de modificar conductas influyen en las estrategias que emplean. Sin embargo, aquellos que recibieron formación en el modelo JASPER lograron adoptar nuevas estrategias de manera más efectiva. La formación virtual en este tipo de enfoques representa una oportunidad para fortalecer la inclusión educativa (</w:t>
      </w:r>
      <w:proofErr w:type="spellStart"/>
      <w:r w:rsidRPr="00074CDE">
        <w:rPr>
          <w:rFonts w:ascii="Arial" w:hAnsi="Arial" w:cs="Arial"/>
          <w:sz w:val="20"/>
          <w:szCs w:val="20"/>
        </w:rPr>
        <w:t>Panganiban</w:t>
      </w:r>
      <w:proofErr w:type="spellEnd"/>
      <w:r w:rsidRPr="00074CDE">
        <w:rPr>
          <w:rFonts w:ascii="Arial" w:hAnsi="Arial" w:cs="Arial"/>
          <w:sz w:val="20"/>
          <w:szCs w:val="20"/>
        </w:rPr>
        <w:t xml:space="preserve"> et al., 2023).</w:t>
      </w:r>
    </w:p>
    <w:p w:rsidR="00074CDE" w:rsidRPr="00074CDE" w:rsidRDefault="00074CDE" w:rsidP="00074CDE">
      <w:pPr>
        <w:spacing w:after="0" w:line="240" w:lineRule="auto"/>
        <w:ind w:firstLine="709"/>
        <w:jc w:val="both"/>
        <w:rPr>
          <w:rFonts w:ascii="Arial" w:hAnsi="Arial" w:cs="Arial"/>
          <w:sz w:val="20"/>
          <w:szCs w:val="20"/>
        </w:rPr>
      </w:pPr>
    </w:p>
    <w:p w:rsidR="00074CDE" w:rsidRPr="00074CDE" w:rsidRDefault="00074CDE" w:rsidP="00074CDE">
      <w:pPr>
        <w:spacing w:after="0" w:line="240" w:lineRule="auto"/>
        <w:jc w:val="both"/>
        <w:rPr>
          <w:rFonts w:ascii="Arial" w:hAnsi="Arial" w:cs="Arial"/>
          <w:b/>
          <w:sz w:val="20"/>
          <w:szCs w:val="20"/>
        </w:rPr>
      </w:pPr>
      <w:r w:rsidRPr="00074CDE">
        <w:rPr>
          <w:rFonts w:ascii="Arial" w:hAnsi="Arial" w:cs="Arial"/>
          <w:b/>
          <w:sz w:val="20"/>
          <w:szCs w:val="20"/>
        </w:rPr>
        <w:t>Estrategias didácticas para el aprendizaje</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La virtualización forzada a raíz de la pandemia por COVID-19 generó transformaciones significativas en las estrategias de mediación pedagógica, especialmente en contextos prácticos como la Práctica Profesional Preescolar. En este marco, las estrategias implementadas desde plataformas virtuales se mostraron eficaces para fortalecer los vínculos pedagógicos, reconocer al estudiante como sujeto activo, promover su participación, respetar su individualidad y fomentar una conexión significativa con el objeto de estudio (Hernández-Herrera, 2024).</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Estas transformaciones también se evidenciaron en la enseñanza de la física, donde las estrategias organizadas por etapas (inicio, desarrollo, aplicación y síntesis) facilitaron la clarificación de ideas y la resolución de problemas. No obstante, se identificaron oportunidades de mejora en la promoción de la autonomía y el trabajo colaborativo (</w:t>
      </w:r>
      <w:proofErr w:type="spellStart"/>
      <w:r w:rsidRPr="00074CDE">
        <w:rPr>
          <w:rFonts w:ascii="Arial" w:hAnsi="Arial" w:cs="Arial"/>
          <w:sz w:val="20"/>
          <w:szCs w:val="20"/>
        </w:rPr>
        <w:t>Inorreta</w:t>
      </w:r>
      <w:proofErr w:type="spellEnd"/>
      <w:r w:rsidRPr="00074CDE">
        <w:rPr>
          <w:rFonts w:ascii="Arial" w:hAnsi="Arial" w:cs="Arial"/>
          <w:sz w:val="20"/>
          <w:szCs w:val="20"/>
        </w:rPr>
        <w:t xml:space="preserve"> et al., 2024).</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En coherencia con los principios de la Nueva Escuela Mexicana, la creación de secuencias didácticas alineadas con enfoques interdisciplinarios, diseñadas por docentes de preescolar, demostró ser efectiva para mejorar la calidad educativa y promover aprendizajes significativos (Alvarado Monroy et al., 2024).</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Asimismo, en la educación superior, la asesoría de tesis ha incorporado estrategias como el trabajo colaborativo, el estudio de casos y el uso de recursos audiovisuales para fortalecer competencias investigativas. Se destaca, sin embargo, que el compromiso estudiantil es un factor clave para el éxito de estas estrategias (</w:t>
      </w:r>
      <w:proofErr w:type="spellStart"/>
      <w:r w:rsidRPr="00074CDE">
        <w:rPr>
          <w:rFonts w:ascii="Arial" w:hAnsi="Arial" w:cs="Arial"/>
          <w:sz w:val="20"/>
          <w:szCs w:val="20"/>
        </w:rPr>
        <w:t>Tapullima-Mori</w:t>
      </w:r>
      <w:proofErr w:type="spellEnd"/>
      <w:r w:rsidRPr="00074CDE">
        <w:rPr>
          <w:rFonts w:ascii="Arial" w:hAnsi="Arial" w:cs="Arial"/>
          <w:sz w:val="20"/>
          <w:szCs w:val="20"/>
        </w:rPr>
        <w:t xml:space="preserve"> et al., 2024).</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 xml:space="preserve">Por otro lado, en entornos híbridos que combinan presencialidad y virtualidad, se ha observado que las estrategias tradicionales no son suficientes para incluir efectivamente a todos los estudiantes. La falta de capacitación docente para cerrar esta brecha pone de relieve la necesidad de adoptar metodologías centradas en el estudiante (van </w:t>
      </w:r>
      <w:proofErr w:type="spellStart"/>
      <w:r w:rsidRPr="00074CDE">
        <w:rPr>
          <w:rFonts w:ascii="Arial" w:hAnsi="Arial" w:cs="Arial"/>
          <w:sz w:val="20"/>
          <w:szCs w:val="20"/>
        </w:rPr>
        <w:t>Wyk</w:t>
      </w:r>
      <w:proofErr w:type="spellEnd"/>
      <w:r w:rsidRPr="00074CDE">
        <w:rPr>
          <w:rFonts w:ascii="Arial" w:hAnsi="Arial" w:cs="Arial"/>
          <w:sz w:val="20"/>
          <w:szCs w:val="20"/>
        </w:rPr>
        <w:t xml:space="preserve"> et al., 2024).</w:t>
      </w:r>
    </w:p>
    <w:p w:rsidR="00074CDE"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En el caso del aprendizaje de las ciencias, se identificaron dificultades en el uso del microscopio, el vocabulario técnico y la comprensión conceptual. Esto indica la necesidad de implementar actividades más atractivas y eficaces que faciliten el aprendizaje práctico (Mohammedsaleh, 2024).</w:t>
      </w:r>
    </w:p>
    <w:p w:rsidR="00F51940" w:rsidRPr="00074CDE" w:rsidRDefault="00074CDE" w:rsidP="00074CDE">
      <w:pPr>
        <w:spacing w:after="0" w:line="240" w:lineRule="auto"/>
        <w:ind w:firstLine="709"/>
        <w:jc w:val="both"/>
        <w:rPr>
          <w:rFonts w:ascii="Arial" w:hAnsi="Arial" w:cs="Arial"/>
          <w:sz w:val="20"/>
          <w:szCs w:val="20"/>
        </w:rPr>
      </w:pPr>
      <w:r w:rsidRPr="00074CDE">
        <w:rPr>
          <w:rFonts w:ascii="Arial" w:hAnsi="Arial" w:cs="Arial"/>
          <w:sz w:val="20"/>
          <w:szCs w:val="20"/>
        </w:rPr>
        <w:t>Finalmente, en la enseñanza de las matemáticas, se exploró el uso de plataformas digitales como Khan Academy para fomentar el pensamiento lógico-matemático. Aunque los estudiantes mostraron una actitud positiva hacia estas herramientas, las estrategias docentes actuales no han sido suficientes para mejorar significativamente las habilidades de resolución de problemas (Vélez et al., 2024). En la enseñanza de la física, persiste una tendencia hacia métodos tradicionales que afectan negativamente la retención y el rendimiento académico (Sánchez et al., 2024).</w:t>
      </w:r>
    </w:p>
    <w:p w:rsidR="00F51940" w:rsidRPr="00F51940" w:rsidRDefault="00F51940" w:rsidP="00F51940">
      <w:pPr>
        <w:spacing w:after="0" w:line="240" w:lineRule="auto"/>
        <w:jc w:val="both"/>
        <w:rPr>
          <w:rFonts w:ascii="Arial" w:hAnsi="Arial" w:cs="Arial"/>
          <w:sz w:val="20"/>
          <w:szCs w:val="20"/>
        </w:rPr>
      </w:pPr>
    </w:p>
    <w:p w:rsidR="00F51940" w:rsidRPr="00E271E2" w:rsidRDefault="00F51940" w:rsidP="00F51940">
      <w:pPr>
        <w:spacing w:after="0" w:line="240" w:lineRule="auto"/>
        <w:jc w:val="both"/>
        <w:rPr>
          <w:rFonts w:ascii="Arial" w:hAnsi="Arial" w:cs="Arial"/>
          <w:b/>
          <w:bCs/>
        </w:rPr>
      </w:pPr>
      <w:r w:rsidRPr="00E271E2">
        <w:rPr>
          <w:rFonts w:ascii="Arial" w:hAnsi="Arial" w:cs="Arial"/>
          <w:b/>
          <w:bCs/>
        </w:rPr>
        <w:t>Conclusiones</w:t>
      </w:r>
    </w:p>
    <w:p w:rsidR="00074CDE" w:rsidRPr="00074CDE" w:rsidRDefault="00074CDE" w:rsidP="00074CDE">
      <w:pPr>
        <w:spacing w:after="0" w:line="240" w:lineRule="auto"/>
        <w:ind w:firstLine="708"/>
        <w:jc w:val="both"/>
        <w:rPr>
          <w:rFonts w:ascii="Arial" w:hAnsi="Arial" w:cs="Arial"/>
          <w:sz w:val="20"/>
          <w:szCs w:val="20"/>
        </w:rPr>
      </w:pPr>
      <w:r w:rsidRPr="00074CDE">
        <w:rPr>
          <w:rFonts w:ascii="Arial" w:hAnsi="Arial" w:cs="Arial"/>
          <w:sz w:val="20"/>
          <w:szCs w:val="20"/>
        </w:rPr>
        <w:t>El estudio concluye que el uso de estrategias didácticas se aplica en diversos contextos educativos, y que los entornos virtuales de aprendizaje se han consolidado como herramientas clave para la mejora de los procesos formativos en múltiples áreas. Estos entornos reconocen al estudiante como un sujeto activo, promueven su participación, respetan su individualidad y fomentan una conexión significativa con el objeto de aprendizaje. Integrar estas estrategias en plataformas virtuales permite a los estudiantes interactuar de manera más efectiva con los conceptos y aplicarlos en situaciones prácticas, favoreciendo así un aprendizaje más profundo gracias a la interacción y retroalimentación en tiempo real.</w:t>
      </w:r>
    </w:p>
    <w:p w:rsidR="00074CDE" w:rsidRPr="00074CDE" w:rsidRDefault="00074CDE" w:rsidP="00074CDE">
      <w:pPr>
        <w:spacing w:after="0" w:line="240" w:lineRule="auto"/>
        <w:ind w:firstLine="708"/>
        <w:jc w:val="both"/>
        <w:rPr>
          <w:rFonts w:ascii="Arial" w:hAnsi="Arial" w:cs="Arial"/>
          <w:sz w:val="20"/>
          <w:szCs w:val="20"/>
        </w:rPr>
      </w:pPr>
      <w:r w:rsidRPr="00074CDE">
        <w:rPr>
          <w:rFonts w:ascii="Arial" w:hAnsi="Arial" w:cs="Arial"/>
          <w:sz w:val="20"/>
          <w:szCs w:val="20"/>
        </w:rPr>
        <w:t>Las estrategias didácticas organizadas por etapas —inicio, desarrollo, aplicación y síntesis— han demostrado favorecer el aprendizaje significativo al facilitar la clarificación de ideas y la resolución de problemas. No obstante, se identifican oportunidades de mejora en el fomento de la autonomía y el trabajo colaborativo. Estas secuencias, cuando son diseñadas y evaluadas por docentes, resultan eficaces para mejorar la calidad educativa y promover el aprendizaje desde una perspectiva interdisciplinaria.</w:t>
      </w:r>
    </w:p>
    <w:p w:rsidR="00F51940" w:rsidRPr="00F51940" w:rsidRDefault="00074CDE" w:rsidP="00074CDE">
      <w:pPr>
        <w:spacing w:after="0" w:line="240" w:lineRule="auto"/>
        <w:ind w:firstLine="708"/>
        <w:jc w:val="both"/>
        <w:rPr>
          <w:rFonts w:ascii="Arial" w:hAnsi="Arial" w:cs="Arial"/>
          <w:sz w:val="20"/>
          <w:szCs w:val="20"/>
        </w:rPr>
      </w:pPr>
      <w:r w:rsidRPr="00074CDE">
        <w:rPr>
          <w:rFonts w:ascii="Arial" w:hAnsi="Arial" w:cs="Arial"/>
          <w:sz w:val="20"/>
          <w:szCs w:val="20"/>
        </w:rPr>
        <w:t xml:space="preserve">Asimismo, se identifican estrategias como el uso de plataformas digitales, por </w:t>
      </w:r>
      <w:r w:rsidR="00684007">
        <w:rPr>
          <w:rFonts w:ascii="Arial" w:hAnsi="Arial" w:cs="Arial"/>
          <w:sz w:val="20"/>
          <w:szCs w:val="20"/>
        </w:rPr>
        <w:t>ejemplo</w:t>
      </w:r>
      <w:r w:rsidRPr="00074CDE">
        <w:rPr>
          <w:rFonts w:ascii="Arial" w:hAnsi="Arial" w:cs="Arial"/>
          <w:sz w:val="20"/>
          <w:szCs w:val="20"/>
        </w:rPr>
        <w:t xml:space="preserve"> Khan Academy, que permiten desarrollar el pensamiento lógico-matemático. En el ámbito de la educación superior, se ha requerido la aplicación de estrategias como el trabajo colaborativo, el estudio de casos y el uso de recursos audiovisuales para fortalecer las competencias investigativas. Estas incluyen habilidades como la formulación de problemas y el análisis de resultados mediante software estadístico, fundamentales para el desarrollo académi</w:t>
      </w:r>
      <w:r>
        <w:rPr>
          <w:rFonts w:ascii="Arial" w:hAnsi="Arial" w:cs="Arial"/>
          <w:sz w:val="20"/>
          <w:szCs w:val="20"/>
        </w:rPr>
        <w:t>co y profesional del estudiante</w:t>
      </w:r>
      <w:r w:rsidR="00F51940" w:rsidRPr="00F51940">
        <w:rPr>
          <w:rFonts w:ascii="Arial" w:hAnsi="Arial" w:cs="Arial"/>
          <w:sz w:val="20"/>
          <w:szCs w:val="20"/>
        </w:rPr>
        <w:t>.</w:t>
      </w:r>
    </w:p>
    <w:p w:rsidR="00F51940" w:rsidRPr="00E271E2" w:rsidRDefault="00F51940" w:rsidP="00F51940">
      <w:pPr>
        <w:spacing w:after="0" w:line="240" w:lineRule="auto"/>
        <w:ind w:firstLine="708"/>
        <w:jc w:val="both"/>
        <w:rPr>
          <w:rFonts w:ascii="Arial" w:hAnsi="Arial" w:cs="Arial"/>
          <w:sz w:val="20"/>
          <w:szCs w:val="20"/>
        </w:rPr>
      </w:pPr>
    </w:p>
    <w:p w:rsidR="00683E7D" w:rsidRPr="00E271E2" w:rsidRDefault="00683E7D" w:rsidP="00E271E2">
      <w:pPr>
        <w:spacing w:after="0" w:line="240" w:lineRule="auto"/>
        <w:jc w:val="both"/>
        <w:rPr>
          <w:rFonts w:ascii="Arial" w:hAnsi="Arial" w:cs="Arial"/>
          <w:b/>
          <w:bCs/>
        </w:rPr>
      </w:pPr>
      <w:r w:rsidRPr="00E271E2">
        <w:rPr>
          <w:rFonts w:ascii="Arial" w:hAnsi="Arial" w:cs="Arial"/>
          <w:b/>
          <w:bCs/>
        </w:rPr>
        <w:t>Referencias</w:t>
      </w:r>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rPr>
        <w:t xml:space="preserve">Alvarado, A., Rodríguez, F., Ríos, M., Mares, C. &amp; Pichardo, F. (2024). Los animales de nuestra región: secuencia interdisciplinaria con docentes de preescolar en el marco de la Nueva Escuela Mexicana. </w:t>
      </w:r>
      <w:r w:rsidRPr="00907E4C">
        <w:rPr>
          <w:rFonts w:ascii="Arial" w:hAnsi="Arial" w:cs="Arial"/>
          <w:i/>
          <w:iCs/>
          <w:sz w:val="20"/>
          <w:szCs w:val="20"/>
        </w:rPr>
        <w:t>RIDE. Revista Iberoamericana para la Investigación y el Desarrollo Educativo</w:t>
      </w:r>
      <w:r w:rsidRPr="00907E4C">
        <w:rPr>
          <w:rFonts w:ascii="Arial" w:hAnsi="Arial" w:cs="Arial"/>
          <w:sz w:val="20"/>
          <w:szCs w:val="20"/>
        </w:rPr>
        <w:t xml:space="preserve">, </w:t>
      </w:r>
      <w:r w:rsidRPr="00907E4C">
        <w:rPr>
          <w:rFonts w:ascii="Arial" w:hAnsi="Arial" w:cs="Arial"/>
          <w:i/>
          <w:iCs/>
          <w:sz w:val="20"/>
          <w:szCs w:val="20"/>
        </w:rPr>
        <w:t>14</w:t>
      </w:r>
      <w:r w:rsidRPr="00907E4C">
        <w:rPr>
          <w:rFonts w:ascii="Arial" w:hAnsi="Arial" w:cs="Arial"/>
          <w:sz w:val="20"/>
          <w:szCs w:val="20"/>
        </w:rPr>
        <w:t xml:space="preserve">(28), e693. </w:t>
      </w:r>
      <w:hyperlink r:id="rId29" w:history="1">
        <w:r w:rsidRPr="00907E4C">
          <w:rPr>
            <w:rStyle w:val="Hyperlink"/>
            <w:rFonts w:ascii="Arial" w:hAnsi="Arial" w:cs="Arial"/>
            <w:sz w:val="20"/>
            <w:szCs w:val="20"/>
          </w:rPr>
          <w:t>https://doi.org/10.23913/ride.v14i28.2002</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rPr>
        <w:t xml:space="preserve">Astaiza, A., Tafur, M. &amp; Viasus, J. (2022). Tres estrategias de enseñanza para un curso de pensamiento sistémico: Experiencia de un laboratorio de aprendizaje y experimentación pedagógica. </w:t>
      </w:r>
      <w:r w:rsidRPr="00907E4C">
        <w:rPr>
          <w:rFonts w:ascii="Arial" w:hAnsi="Arial" w:cs="Arial"/>
          <w:i/>
          <w:iCs/>
          <w:sz w:val="20"/>
          <w:szCs w:val="20"/>
        </w:rPr>
        <w:t>Revista de estudios y experiencias en educación</w:t>
      </w:r>
      <w:r w:rsidRPr="00907E4C">
        <w:rPr>
          <w:rFonts w:ascii="Arial" w:hAnsi="Arial" w:cs="Arial"/>
          <w:sz w:val="20"/>
          <w:szCs w:val="20"/>
        </w:rPr>
        <w:t xml:space="preserve">, </w:t>
      </w:r>
      <w:r w:rsidRPr="00907E4C">
        <w:rPr>
          <w:rFonts w:ascii="Arial" w:hAnsi="Arial" w:cs="Arial"/>
          <w:i/>
          <w:iCs/>
          <w:sz w:val="20"/>
          <w:szCs w:val="20"/>
        </w:rPr>
        <w:t>21</w:t>
      </w:r>
      <w:r w:rsidRPr="00907E4C">
        <w:rPr>
          <w:rFonts w:ascii="Arial" w:hAnsi="Arial" w:cs="Arial"/>
          <w:sz w:val="20"/>
          <w:szCs w:val="20"/>
        </w:rPr>
        <w:t xml:space="preserve">(45), 460-474. </w:t>
      </w:r>
      <w:hyperlink r:id="rId30" w:history="1">
        <w:r w:rsidRPr="00907E4C">
          <w:rPr>
            <w:rStyle w:val="Hyperlink"/>
            <w:rFonts w:ascii="Arial" w:hAnsi="Arial" w:cs="Arial"/>
            <w:sz w:val="20"/>
            <w:szCs w:val="20"/>
          </w:rPr>
          <w:t>https://dx.doi.org/10.21703/0718-5162.v21.n45.2022.024</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rPr>
        <w:t xml:space="preserve">Bernal-Ruiz, F., Guzmán, C., Gamboa, M., Pizarro-Díaz, N., Núñez, A. &amp; Cañas, M. (2024). Efecto de la inhibición y la flexibilidad cognitiva en la comprensión lectora de escolares. </w:t>
      </w:r>
      <w:r w:rsidRPr="00907E4C">
        <w:rPr>
          <w:rFonts w:ascii="Arial" w:hAnsi="Arial" w:cs="Arial"/>
          <w:i/>
          <w:iCs/>
          <w:sz w:val="20"/>
          <w:szCs w:val="20"/>
        </w:rPr>
        <w:t>Pensamiento educativo</w:t>
      </w:r>
      <w:r w:rsidRPr="00907E4C">
        <w:rPr>
          <w:rFonts w:ascii="Arial" w:hAnsi="Arial" w:cs="Arial"/>
          <w:sz w:val="20"/>
          <w:szCs w:val="20"/>
        </w:rPr>
        <w:t xml:space="preserve">, </w:t>
      </w:r>
      <w:r w:rsidRPr="00907E4C">
        <w:rPr>
          <w:rFonts w:ascii="Arial" w:hAnsi="Arial" w:cs="Arial"/>
          <w:i/>
          <w:iCs/>
          <w:sz w:val="20"/>
          <w:szCs w:val="20"/>
        </w:rPr>
        <w:t>61</w:t>
      </w:r>
      <w:r w:rsidRPr="00907E4C">
        <w:rPr>
          <w:rFonts w:ascii="Arial" w:hAnsi="Arial" w:cs="Arial"/>
          <w:sz w:val="20"/>
          <w:szCs w:val="20"/>
        </w:rPr>
        <w:t xml:space="preserve">(3), 00106. </w:t>
      </w:r>
      <w:hyperlink r:id="rId31" w:history="1">
        <w:r w:rsidRPr="00907E4C">
          <w:rPr>
            <w:rStyle w:val="Hyperlink"/>
            <w:rFonts w:ascii="Arial" w:hAnsi="Arial" w:cs="Arial"/>
            <w:sz w:val="20"/>
            <w:szCs w:val="20"/>
          </w:rPr>
          <w:t>https://dx.doi.org/10.7764/pel.61.3.2024.6</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rPr>
        <w:t>Campos-Gutierrez, J., Placencia-Medina, M., Silva-Valencia, J. &amp; Zambrano, M. (2021). Perspectiva docente-estudiante sobre estrategias de enseñanza y habilidades pedagógicas constructivistas en programas de maestrías de u</w:t>
      </w:r>
      <w:r w:rsidR="00684007">
        <w:rPr>
          <w:rFonts w:ascii="Arial" w:hAnsi="Arial" w:cs="Arial"/>
          <w:sz w:val="20"/>
          <w:szCs w:val="20"/>
        </w:rPr>
        <w:t>na universidad pública peruana.</w:t>
      </w:r>
      <w:r w:rsidRPr="00907E4C">
        <w:rPr>
          <w:rFonts w:ascii="Arial" w:hAnsi="Arial" w:cs="Arial"/>
          <w:sz w:val="20"/>
          <w:szCs w:val="20"/>
        </w:rPr>
        <w:t xml:space="preserve"> </w:t>
      </w:r>
      <w:r w:rsidRPr="00907E4C">
        <w:rPr>
          <w:rFonts w:ascii="Arial" w:hAnsi="Arial" w:cs="Arial"/>
          <w:i/>
          <w:iCs/>
          <w:sz w:val="20"/>
          <w:szCs w:val="20"/>
        </w:rPr>
        <w:t>Revista de la Facultad de Medicina Humana</w:t>
      </w:r>
      <w:r w:rsidRPr="00907E4C">
        <w:rPr>
          <w:rFonts w:ascii="Arial" w:hAnsi="Arial" w:cs="Arial"/>
          <w:sz w:val="20"/>
          <w:szCs w:val="20"/>
        </w:rPr>
        <w:t xml:space="preserve">, </w:t>
      </w:r>
      <w:r w:rsidRPr="00907E4C">
        <w:rPr>
          <w:rFonts w:ascii="Arial" w:hAnsi="Arial" w:cs="Arial"/>
          <w:i/>
          <w:iCs/>
          <w:sz w:val="20"/>
          <w:szCs w:val="20"/>
        </w:rPr>
        <w:t>21</w:t>
      </w:r>
      <w:r w:rsidRPr="00907E4C">
        <w:rPr>
          <w:rFonts w:ascii="Arial" w:hAnsi="Arial" w:cs="Arial"/>
          <w:sz w:val="20"/>
          <w:szCs w:val="20"/>
        </w:rPr>
        <w:t xml:space="preserve">(3), 517-527. </w:t>
      </w:r>
      <w:hyperlink r:id="rId32" w:history="1">
        <w:r w:rsidRPr="00907E4C">
          <w:rPr>
            <w:rStyle w:val="Hyperlink"/>
            <w:rFonts w:ascii="Arial" w:hAnsi="Arial" w:cs="Arial"/>
            <w:sz w:val="20"/>
            <w:szCs w:val="20"/>
          </w:rPr>
          <w:t>https://doi.org/10.25176/rfmh.v21i3.3775</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rPr>
        <w:t xml:space="preserve">Cisterna, C. &amp; Díaz, C. (2022). Estilos de aprendizaje predominantes en adultos mayores: una primera aproximación. </w:t>
      </w:r>
      <w:r w:rsidRPr="00907E4C">
        <w:rPr>
          <w:rFonts w:ascii="Arial" w:hAnsi="Arial" w:cs="Arial"/>
          <w:i/>
          <w:iCs/>
          <w:sz w:val="20"/>
          <w:szCs w:val="20"/>
        </w:rPr>
        <w:t>Perspectiva Educacional</w:t>
      </w:r>
      <w:r w:rsidRPr="00907E4C">
        <w:rPr>
          <w:rFonts w:ascii="Arial" w:hAnsi="Arial" w:cs="Arial"/>
          <w:sz w:val="20"/>
          <w:szCs w:val="20"/>
        </w:rPr>
        <w:t xml:space="preserve">, </w:t>
      </w:r>
      <w:r w:rsidRPr="00907E4C">
        <w:rPr>
          <w:rFonts w:ascii="Arial" w:hAnsi="Arial" w:cs="Arial"/>
          <w:i/>
          <w:iCs/>
          <w:sz w:val="20"/>
          <w:szCs w:val="20"/>
        </w:rPr>
        <w:t>61</w:t>
      </w:r>
      <w:r w:rsidRPr="00907E4C">
        <w:rPr>
          <w:rFonts w:ascii="Arial" w:hAnsi="Arial" w:cs="Arial"/>
          <w:sz w:val="20"/>
          <w:szCs w:val="20"/>
        </w:rPr>
        <w:t xml:space="preserve">(1), 181-195. </w:t>
      </w:r>
      <w:hyperlink r:id="rId33" w:history="1">
        <w:r w:rsidRPr="00907E4C">
          <w:rPr>
            <w:rStyle w:val="Hyperlink"/>
            <w:rFonts w:ascii="Arial" w:hAnsi="Arial" w:cs="Arial"/>
            <w:sz w:val="20"/>
            <w:szCs w:val="20"/>
          </w:rPr>
          <w:t>https://dx.doi.org/10.4151/07189729-vol.61-iss.1-art.1237</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rPr>
        <w:t xml:space="preserve">Danielo, B. &amp; Coleoni, E. (2024). Aprendizajes de un profesor de física en formación: lo didáctico y lo afectivo. </w:t>
      </w:r>
      <w:r w:rsidRPr="00907E4C">
        <w:rPr>
          <w:rFonts w:ascii="Arial" w:hAnsi="Arial" w:cs="Arial"/>
          <w:i/>
          <w:iCs/>
          <w:sz w:val="20"/>
          <w:szCs w:val="20"/>
        </w:rPr>
        <w:t>Revista de enseñanza de la física</w:t>
      </w:r>
      <w:r w:rsidRPr="00907E4C">
        <w:rPr>
          <w:rFonts w:ascii="Arial" w:hAnsi="Arial" w:cs="Arial"/>
          <w:sz w:val="20"/>
          <w:szCs w:val="20"/>
        </w:rPr>
        <w:t xml:space="preserve">, </w:t>
      </w:r>
      <w:r w:rsidRPr="00907E4C">
        <w:rPr>
          <w:rFonts w:ascii="Arial" w:hAnsi="Arial" w:cs="Arial"/>
          <w:i/>
          <w:iCs/>
          <w:sz w:val="20"/>
          <w:szCs w:val="20"/>
        </w:rPr>
        <w:t>36</w:t>
      </w:r>
      <w:r w:rsidR="00684007">
        <w:rPr>
          <w:rFonts w:ascii="Arial" w:hAnsi="Arial" w:cs="Arial"/>
          <w:sz w:val="20"/>
          <w:szCs w:val="20"/>
        </w:rPr>
        <w:t xml:space="preserve">(1), 67-78. </w:t>
      </w:r>
      <w:hyperlink r:id="rId34" w:history="1">
        <w:r w:rsidRPr="00907E4C">
          <w:rPr>
            <w:rStyle w:val="Hyperlink"/>
            <w:rFonts w:ascii="Arial" w:hAnsi="Arial" w:cs="Arial"/>
            <w:sz w:val="20"/>
            <w:szCs w:val="20"/>
          </w:rPr>
          <w:t>https://dx.doi.org/10.55767/2451.6007.v36.n1.45313</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lang w:val="pt-BR"/>
        </w:rPr>
        <w:t>Gonçalves, K. &amp; Cabral Neto, J. (2024). Uma análise das práticas para o ensino de Física Moderna e Contemporânea em cu</w:t>
      </w:r>
      <w:r w:rsidR="00684007">
        <w:rPr>
          <w:rFonts w:ascii="Arial" w:hAnsi="Arial" w:cs="Arial"/>
          <w:sz w:val="20"/>
          <w:szCs w:val="20"/>
          <w:lang w:val="pt-BR"/>
        </w:rPr>
        <w:t xml:space="preserve">rsos de Licenciatura em Física. </w:t>
      </w:r>
      <w:r w:rsidRPr="00907E4C">
        <w:rPr>
          <w:rFonts w:ascii="Arial" w:hAnsi="Arial" w:cs="Arial"/>
          <w:i/>
          <w:iCs/>
          <w:sz w:val="20"/>
          <w:szCs w:val="20"/>
        </w:rPr>
        <w:t>Revista de enseñanza de la física</w:t>
      </w:r>
      <w:r w:rsidRPr="00907E4C">
        <w:rPr>
          <w:rFonts w:ascii="Arial" w:hAnsi="Arial" w:cs="Arial"/>
          <w:sz w:val="20"/>
          <w:szCs w:val="20"/>
        </w:rPr>
        <w:t xml:space="preserve">, </w:t>
      </w:r>
      <w:r w:rsidRPr="00907E4C">
        <w:rPr>
          <w:rFonts w:ascii="Arial" w:hAnsi="Arial" w:cs="Arial"/>
          <w:i/>
          <w:iCs/>
          <w:sz w:val="20"/>
          <w:szCs w:val="20"/>
        </w:rPr>
        <w:t>36</w:t>
      </w:r>
      <w:r w:rsidRPr="00907E4C">
        <w:rPr>
          <w:rFonts w:ascii="Arial" w:hAnsi="Arial" w:cs="Arial"/>
          <w:sz w:val="20"/>
          <w:szCs w:val="20"/>
        </w:rPr>
        <w:t xml:space="preserve">(1), 37-51. </w:t>
      </w:r>
      <w:hyperlink r:id="rId35" w:history="1">
        <w:r w:rsidRPr="00907E4C">
          <w:rPr>
            <w:rStyle w:val="Hyperlink"/>
            <w:rFonts w:ascii="Arial" w:hAnsi="Arial" w:cs="Arial"/>
            <w:sz w:val="20"/>
            <w:szCs w:val="20"/>
          </w:rPr>
          <w:t>https://dx.doi.org/10.55767/2451.6007.v36.n1.45310</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rPr>
        <w:t xml:space="preserve">Hernández-Herrera, N. (2024). Estrategias didácticas utilizadas para la mediación pedagógica en entornos virtuales de aprendizaje: Percepción del estudiantado de la Práctica Profesional Preescolar de la UNED, Costa Rica. </w:t>
      </w:r>
      <w:r w:rsidRPr="00907E4C">
        <w:rPr>
          <w:rFonts w:ascii="Arial" w:hAnsi="Arial" w:cs="Arial"/>
          <w:i/>
          <w:iCs/>
          <w:sz w:val="20"/>
          <w:szCs w:val="20"/>
        </w:rPr>
        <w:t>Revista Innovaciones Educativas</w:t>
      </w:r>
      <w:r w:rsidRPr="00907E4C">
        <w:rPr>
          <w:rFonts w:ascii="Arial" w:hAnsi="Arial" w:cs="Arial"/>
          <w:sz w:val="20"/>
          <w:szCs w:val="20"/>
        </w:rPr>
        <w:t xml:space="preserve">, </w:t>
      </w:r>
      <w:r w:rsidRPr="00907E4C">
        <w:rPr>
          <w:rFonts w:ascii="Arial" w:hAnsi="Arial" w:cs="Arial"/>
          <w:i/>
          <w:iCs/>
          <w:sz w:val="20"/>
          <w:szCs w:val="20"/>
        </w:rPr>
        <w:t>26</w:t>
      </w:r>
      <w:r w:rsidRPr="00907E4C">
        <w:rPr>
          <w:rFonts w:ascii="Arial" w:hAnsi="Arial" w:cs="Arial"/>
          <w:sz w:val="20"/>
          <w:szCs w:val="20"/>
        </w:rPr>
        <w:t xml:space="preserve">(41), 78-89. </w:t>
      </w:r>
      <w:hyperlink r:id="rId36" w:history="1">
        <w:r w:rsidRPr="00907E4C">
          <w:rPr>
            <w:rStyle w:val="Hyperlink"/>
            <w:rFonts w:ascii="Arial" w:hAnsi="Arial" w:cs="Arial"/>
            <w:sz w:val="20"/>
            <w:szCs w:val="20"/>
          </w:rPr>
          <w:t>https://dx.doi.org/10.22458/ie.v26i41.5034</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pt-BR"/>
        </w:rPr>
      </w:pPr>
      <w:r w:rsidRPr="00907E4C">
        <w:rPr>
          <w:rFonts w:ascii="Arial" w:hAnsi="Arial" w:cs="Arial"/>
          <w:sz w:val="20"/>
          <w:szCs w:val="20"/>
        </w:rPr>
        <w:t xml:space="preserve">Hurtado-Palomino, A., Merma-Valverde, W., Ccorisapra-Quintana, F., Lazo-Cerón, Y. &amp; Boza-Salas, K. (2021). Estrategias de enseñanza docente en la satisfacción académica de los estudiantes universitarios. </w:t>
      </w:r>
      <w:r w:rsidRPr="00907E4C">
        <w:rPr>
          <w:rFonts w:ascii="Arial" w:hAnsi="Arial" w:cs="Arial"/>
          <w:i/>
          <w:iCs/>
          <w:sz w:val="20"/>
          <w:szCs w:val="20"/>
          <w:lang w:val="pt-BR"/>
        </w:rPr>
        <w:t>Comuni@cción</w:t>
      </w:r>
      <w:r w:rsidRPr="00907E4C">
        <w:rPr>
          <w:rFonts w:ascii="Arial" w:hAnsi="Arial" w:cs="Arial"/>
          <w:sz w:val="20"/>
          <w:szCs w:val="20"/>
          <w:lang w:val="pt-BR"/>
        </w:rPr>
        <w:t xml:space="preserve">, </w:t>
      </w:r>
      <w:r w:rsidRPr="00907E4C">
        <w:rPr>
          <w:rFonts w:ascii="Arial" w:hAnsi="Arial" w:cs="Arial"/>
          <w:i/>
          <w:iCs/>
          <w:sz w:val="20"/>
          <w:szCs w:val="20"/>
          <w:lang w:val="pt-BR"/>
        </w:rPr>
        <w:t>12</w:t>
      </w:r>
      <w:r w:rsidRPr="00907E4C">
        <w:rPr>
          <w:rFonts w:ascii="Arial" w:hAnsi="Arial" w:cs="Arial"/>
          <w:sz w:val="20"/>
          <w:szCs w:val="20"/>
          <w:lang w:val="pt-BR"/>
        </w:rPr>
        <w:t xml:space="preserve">(3), 217-228. </w:t>
      </w:r>
      <w:hyperlink r:id="rId37" w:history="1">
        <w:r w:rsidRPr="00907E4C">
          <w:rPr>
            <w:rStyle w:val="Hyperlink"/>
            <w:rFonts w:ascii="Arial" w:hAnsi="Arial" w:cs="Arial"/>
            <w:sz w:val="20"/>
            <w:szCs w:val="20"/>
            <w:lang w:val="pt-BR"/>
          </w:rPr>
          <w:t>https://doi.org/10.33595/2226-1478.12.3.559</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lang w:val="pt-BR"/>
        </w:rPr>
        <w:t xml:space="preserve">Inorreta, Y., Bravo, B. &amp; Bravo, S. (2024). </w:t>
      </w:r>
      <w:r w:rsidRPr="00907E4C">
        <w:rPr>
          <w:rFonts w:ascii="Arial" w:hAnsi="Arial" w:cs="Arial"/>
          <w:sz w:val="20"/>
          <w:szCs w:val="20"/>
        </w:rPr>
        <w:t xml:space="preserve">Análisis de estrategias didácticas para favorecer el aprendizaje del fenómeno de inducción electromagnética en la Educación Secundaria. </w:t>
      </w:r>
      <w:r w:rsidRPr="00907E4C">
        <w:rPr>
          <w:rFonts w:ascii="Arial" w:hAnsi="Arial" w:cs="Arial"/>
          <w:i/>
          <w:iCs/>
          <w:sz w:val="20"/>
          <w:szCs w:val="20"/>
        </w:rPr>
        <w:t>Revista electrónica de investigación en educación en ciencias</w:t>
      </w:r>
      <w:r w:rsidRPr="00907E4C">
        <w:rPr>
          <w:rFonts w:ascii="Arial" w:hAnsi="Arial" w:cs="Arial"/>
          <w:sz w:val="20"/>
          <w:szCs w:val="20"/>
        </w:rPr>
        <w:t xml:space="preserve">, </w:t>
      </w:r>
      <w:r w:rsidRPr="00907E4C">
        <w:rPr>
          <w:rFonts w:ascii="Arial" w:hAnsi="Arial" w:cs="Arial"/>
          <w:i/>
          <w:iCs/>
          <w:sz w:val="20"/>
          <w:szCs w:val="20"/>
        </w:rPr>
        <w:t>19</w:t>
      </w:r>
      <w:r w:rsidRPr="00907E4C">
        <w:rPr>
          <w:rFonts w:ascii="Arial" w:hAnsi="Arial" w:cs="Arial"/>
          <w:sz w:val="20"/>
          <w:szCs w:val="20"/>
        </w:rPr>
        <w:t xml:space="preserve">(2), 13-15. </w:t>
      </w:r>
      <w:hyperlink r:id="rId38" w:history="1">
        <w:r w:rsidRPr="00907E4C">
          <w:rPr>
            <w:rStyle w:val="Hyperlink"/>
            <w:rFonts w:ascii="Arial" w:hAnsi="Arial" w:cs="Arial"/>
            <w:sz w:val="20"/>
            <w:szCs w:val="20"/>
          </w:rPr>
          <w:t>https://dx.doi.org/10.54343/reiec.v19i1.401</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rPr>
        <w:t xml:space="preserve">Jaime-Silva, S., López-Martínez, O. &amp; Izquierdo-Rus, T. (2023). Experiencias de aprendizaje orientadas al bienestar. </w:t>
      </w:r>
      <w:r w:rsidRPr="00907E4C">
        <w:rPr>
          <w:rFonts w:ascii="Arial" w:hAnsi="Arial" w:cs="Arial"/>
          <w:i/>
          <w:iCs/>
          <w:sz w:val="20"/>
          <w:szCs w:val="20"/>
        </w:rPr>
        <w:t>FEM: Revista de la Fundación Educación Médica</w:t>
      </w:r>
      <w:r w:rsidRPr="00907E4C">
        <w:rPr>
          <w:rFonts w:ascii="Arial" w:hAnsi="Arial" w:cs="Arial"/>
          <w:sz w:val="20"/>
          <w:szCs w:val="20"/>
        </w:rPr>
        <w:t xml:space="preserve">, </w:t>
      </w:r>
      <w:r w:rsidRPr="00907E4C">
        <w:rPr>
          <w:rFonts w:ascii="Arial" w:hAnsi="Arial" w:cs="Arial"/>
          <w:i/>
          <w:iCs/>
          <w:sz w:val="20"/>
          <w:szCs w:val="20"/>
        </w:rPr>
        <w:t>26</w:t>
      </w:r>
      <w:r w:rsidRPr="00907E4C">
        <w:rPr>
          <w:rFonts w:ascii="Arial" w:hAnsi="Arial" w:cs="Arial"/>
          <w:sz w:val="20"/>
          <w:szCs w:val="20"/>
        </w:rPr>
        <w:t xml:space="preserve">(3), 101-105. </w:t>
      </w:r>
      <w:hyperlink r:id="rId39" w:history="1">
        <w:r w:rsidRPr="00907E4C">
          <w:rPr>
            <w:rStyle w:val="Hyperlink"/>
            <w:rFonts w:ascii="Arial" w:hAnsi="Arial" w:cs="Arial"/>
            <w:sz w:val="20"/>
            <w:szCs w:val="20"/>
          </w:rPr>
          <w:t>https://dx.doi.org/10.33588/fem.263.1278</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Kabini, S. &amp; Meyer, I. (2024). Perceptions of Undergraduate Dental Students Regarding the Teaching and Learning Strategies in Prosthetic Dentistry. </w:t>
      </w:r>
      <w:r w:rsidRPr="00907E4C">
        <w:rPr>
          <w:rFonts w:ascii="Arial" w:hAnsi="Arial" w:cs="Arial"/>
          <w:i/>
          <w:iCs/>
          <w:sz w:val="20"/>
          <w:szCs w:val="20"/>
          <w:lang w:val="en-US"/>
        </w:rPr>
        <w:t xml:space="preserve">South African Dental Journal </w:t>
      </w:r>
      <w:r w:rsidRPr="00907E4C">
        <w:rPr>
          <w:rFonts w:ascii="Arial" w:hAnsi="Arial" w:cs="Arial"/>
          <w:sz w:val="20"/>
          <w:szCs w:val="20"/>
          <w:lang w:val="en-US"/>
        </w:rPr>
        <w:t xml:space="preserve">, </w:t>
      </w:r>
      <w:r w:rsidRPr="00907E4C">
        <w:rPr>
          <w:rFonts w:ascii="Arial" w:hAnsi="Arial" w:cs="Arial"/>
          <w:i/>
          <w:iCs/>
          <w:sz w:val="20"/>
          <w:szCs w:val="20"/>
          <w:lang w:val="en-US"/>
        </w:rPr>
        <w:t>79</w:t>
      </w:r>
      <w:r w:rsidRPr="00907E4C">
        <w:rPr>
          <w:rFonts w:ascii="Arial" w:hAnsi="Arial" w:cs="Arial"/>
          <w:sz w:val="20"/>
          <w:szCs w:val="20"/>
          <w:lang w:val="en-US"/>
        </w:rPr>
        <w:t xml:space="preserve">(8), 419-425. </w:t>
      </w:r>
      <w:hyperlink r:id="rId40" w:history="1">
        <w:r w:rsidRPr="00907E4C">
          <w:rPr>
            <w:rStyle w:val="Hyperlink"/>
            <w:rFonts w:ascii="Arial" w:hAnsi="Arial" w:cs="Arial"/>
            <w:sz w:val="20"/>
            <w:szCs w:val="20"/>
            <w:lang w:val="en-US"/>
          </w:rPr>
          <w:t>https://doi.org/10.17159/sadj.v79i06.18868</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Kulachai, W., Benchakhan, K. &amp; Homyamyen, P. (2025). Unlocking academic success: the impact of teaching strategies, instructor support, and student innovation on learning outcomes in public administration. </w:t>
      </w:r>
      <w:r w:rsidRPr="00907E4C">
        <w:rPr>
          <w:rFonts w:ascii="Arial" w:hAnsi="Arial" w:cs="Arial"/>
          <w:i/>
          <w:iCs/>
          <w:sz w:val="20"/>
          <w:szCs w:val="20"/>
          <w:lang w:val="en-US"/>
        </w:rPr>
        <w:t>Cogent Education</w:t>
      </w:r>
      <w:r w:rsidRPr="00907E4C">
        <w:rPr>
          <w:rFonts w:ascii="Arial" w:hAnsi="Arial" w:cs="Arial"/>
          <w:sz w:val="20"/>
          <w:szCs w:val="20"/>
          <w:lang w:val="en-US"/>
        </w:rPr>
        <w:t xml:space="preserve">, </w:t>
      </w:r>
      <w:r w:rsidRPr="00907E4C">
        <w:rPr>
          <w:rFonts w:ascii="Arial" w:hAnsi="Arial" w:cs="Arial"/>
          <w:i/>
          <w:iCs/>
          <w:sz w:val="20"/>
          <w:szCs w:val="20"/>
          <w:lang w:val="en-US"/>
        </w:rPr>
        <w:t>12</w:t>
      </w:r>
      <w:r w:rsidRPr="00907E4C">
        <w:rPr>
          <w:rFonts w:ascii="Arial" w:hAnsi="Arial" w:cs="Arial"/>
          <w:sz w:val="20"/>
          <w:szCs w:val="20"/>
          <w:lang w:val="en-US"/>
        </w:rPr>
        <w:t xml:space="preserve">(1). </w:t>
      </w:r>
      <w:hyperlink r:id="rId41" w:history="1">
        <w:r w:rsidRPr="00907E4C">
          <w:rPr>
            <w:rStyle w:val="Hyperlink"/>
            <w:rFonts w:ascii="Arial" w:hAnsi="Arial" w:cs="Arial"/>
            <w:sz w:val="20"/>
            <w:szCs w:val="20"/>
            <w:lang w:val="en-US"/>
          </w:rPr>
          <w:t>https://doi.org/10.1080/2331186X.2025.2454122</w:t>
        </w:r>
      </w:hyperlink>
      <w:r w:rsidRPr="00907E4C">
        <w:rPr>
          <w:rFonts w:ascii="Arial" w:hAnsi="Arial" w:cs="Arial"/>
          <w:sz w:val="20"/>
          <w:szCs w:val="20"/>
          <w:lang w:val="en-US"/>
        </w:rPr>
        <w:t xml:space="preserve"> </w:t>
      </w:r>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Ma, F., &amp; Ma, R. (2024). Innovative teaching strategies using questioning for experimental teaching of genetics: a case study. </w:t>
      </w:r>
      <w:r w:rsidRPr="00907E4C">
        <w:rPr>
          <w:rFonts w:ascii="Arial" w:hAnsi="Arial" w:cs="Arial"/>
          <w:i/>
          <w:iCs/>
          <w:sz w:val="20"/>
          <w:szCs w:val="20"/>
          <w:lang w:val="en-US"/>
        </w:rPr>
        <w:t>Cogent Education</w:t>
      </w:r>
      <w:r w:rsidRPr="00907E4C">
        <w:rPr>
          <w:rFonts w:ascii="Arial" w:hAnsi="Arial" w:cs="Arial"/>
          <w:sz w:val="20"/>
          <w:szCs w:val="20"/>
          <w:lang w:val="en-US"/>
        </w:rPr>
        <w:t xml:space="preserve">, </w:t>
      </w:r>
      <w:r w:rsidRPr="00907E4C">
        <w:rPr>
          <w:rFonts w:ascii="Arial" w:hAnsi="Arial" w:cs="Arial"/>
          <w:i/>
          <w:iCs/>
          <w:sz w:val="20"/>
          <w:szCs w:val="20"/>
          <w:lang w:val="en-US"/>
        </w:rPr>
        <w:t>11</w:t>
      </w:r>
      <w:r w:rsidRPr="00907E4C">
        <w:rPr>
          <w:rFonts w:ascii="Arial" w:hAnsi="Arial" w:cs="Arial"/>
          <w:sz w:val="20"/>
          <w:szCs w:val="20"/>
          <w:lang w:val="en-US"/>
        </w:rPr>
        <w:t xml:space="preserve">(1). </w:t>
      </w:r>
      <w:hyperlink r:id="rId42" w:history="1">
        <w:r w:rsidRPr="00907E4C">
          <w:rPr>
            <w:rStyle w:val="Hyperlink"/>
            <w:rFonts w:ascii="Arial" w:hAnsi="Arial" w:cs="Arial"/>
            <w:sz w:val="20"/>
            <w:szCs w:val="20"/>
            <w:lang w:val="en-US"/>
          </w:rPr>
          <w:t>https://doi.org/10.1080/2331186X.2024.2378250</w:t>
        </w:r>
      </w:hyperlink>
      <w:r w:rsidRPr="00907E4C">
        <w:rPr>
          <w:rFonts w:ascii="Arial" w:hAnsi="Arial" w:cs="Arial"/>
          <w:sz w:val="20"/>
          <w:szCs w:val="20"/>
          <w:lang w:val="en-US"/>
        </w:rPr>
        <w:t xml:space="preserve"> </w:t>
      </w:r>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Madsen, K., Svendsen, A., Volshøj, E., Jakobsen, A.  &amp; Lillelund, K. (2025). Six teaching strategies to support meaningful PE experiences in early primary schools – results from an action research project. </w:t>
      </w:r>
      <w:r w:rsidRPr="00907E4C">
        <w:rPr>
          <w:rFonts w:ascii="Arial" w:hAnsi="Arial" w:cs="Arial"/>
          <w:i/>
          <w:iCs/>
          <w:sz w:val="20"/>
          <w:szCs w:val="20"/>
          <w:lang w:val="en-US"/>
        </w:rPr>
        <w:t>Physical Education and Sport Pedagogy</w:t>
      </w:r>
      <w:r w:rsidRPr="00907E4C">
        <w:rPr>
          <w:rFonts w:ascii="Arial" w:hAnsi="Arial" w:cs="Arial"/>
          <w:sz w:val="20"/>
          <w:szCs w:val="20"/>
          <w:lang w:val="en-US"/>
        </w:rPr>
        <w:t xml:space="preserve">, 1–13. </w:t>
      </w:r>
      <w:hyperlink r:id="rId43" w:history="1">
        <w:r w:rsidRPr="00907E4C">
          <w:rPr>
            <w:rStyle w:val="Hyperlink"/>
            <w:rFonts w:ascii="Arial" w:hAnsi="Arial" w:cs="Arial"/>
            <w:sz w:val="20"/>
            <w:szCs w:val="20"/>
            <w:lang w:val="en-US"/>
          </w:rPr>
          <w:t>https://doi.org/10.1080/17408989.2025.2489165</w:t>
        </w:r>
      </w:hyperlink>
      <w:r w:rsidRPr="00907E4C">
        <w:rPr>
          <w:rFonts w:ascii="Arial" w:hAnsi="Arial" w:cs="Arial"/>
          <w:sz w:val="20"/>
          <w:szCs w:val="20"/>
          <w:lang w:val="en-US"/>
        </w:rPr>
        <w:t xml:space="preserve"> </w:t>
      </w:r>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Marinšek, M., &amp; Lukman, N. (2021). Teaching strategies for promoting motor creativity and motor skill proficiency in early childhood. </w:t>
      </w:r>
      <w:r w:rsidRPr="00907E4C">
        <w:rPr>
          <w:rFonts w:ascii="Arial" w:hAnsi="Arial" w:cs="Arial"/>
          <w:i/>
          <w:iCs/>
          <w:sz w:val="20"/>
          <w:szCs w:val="20"/>
          <w:lang w:val="en-US"/>
        </w:rPr>
        <w:t>Economic Research-Ekonomska Istraživanja</w:t>
      </w:r>
      <w:r w:rsidRPr="00907E4C">
        <w:rPr>
          <w:rFonts w:ascii="Arial" w:hAnsi="Arial" w:cs="Arial"/>
          <w:sz w:val="20"/>
          <w:szCs w:val="20"/>
          <w:lang w:val="en-US"/>
        </w:rPr>
        <w:t xml:space="preserve">, </w:t>
      </w:r>
      <w:r w:rsidRPr="00907E4C">
        <w:rPr>
          <w:rFonts w:ascii="Arial" w:hAnsi="Arial" w:cs="Arial"/>
          <w:i/>
          <w:iCs/>
          <w:sz w:val="20"/>
          <w:szCs w:val="20"/>
          <w:lang w:val="en-US"/>
        </w:rPr>
        <w:t>35</w:t>
      </w:r>
      <w:r w:rsidRPr="00907E4C">
        <w:rPr>
          <w:rFonts w:ascii="Arial" w:hAnsi="Arial" w:cs="Arial"/>
          <w:sz w:val="20"/>
          <w:szCs w:val="20"/>
          <w:lang w:val="en-US"/>
        </w:rPr>
        <w:t xml:space="preserve">(1), 2645–2653. </w:t>
      </w:r>
      <w:hyperlink r:id="rId44" w:history="1">
        <w:r w:rsidRPr="00907E4C">
          <w:rPr>
            <w:rStyle w:val="Hyperlink"/>
            <w:rFonts w:ascii="Arial" w:hAnsi="Arial" w:cs="Arial"/>
            <w:sz w:val="20"/>
            <w:szCs w:val="20"/>
            <w:lang w:val="en-US"/>
          </w:rPr>
          <w:t>https://doi.org/10.1080/1331677X.2021.1974306</w:t>
        </w:r>
      </w:hyperlink>
      <w:r w:rsidRPr="00907E4C">
        <w:rPr>
          <w:rFonts w:ascii="Arial" w:hAnsi="Arial" w:cs="Arial"/>
          <w:sz w:val="20"/>
          <w:szCs w:val="20"/>
          <w:lang w:val="en-US"/>
        </w:rPr>
        <w:t xml:space="preserve"> </w:t>
      </w:r>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Mohammedsaleh, Z. (2024). The Impact of Various Factors on the Difficulties in Learning and Teaching Strategies for Histology. </w:t>
      </w:r>
      <w:r w:rsidRPr="00907E4C">
        <w:rPr>
          <w:rFonts w:ascii="Arial" w:hAnsi="Arial" w:cs="Arial"/>
          <w:i/>
          <w:iCs/>
          <w:sz w:val="20"/>
          <w:szCs w:val="20"/>
          <w:lang w:val="en-US"/>
        </w:rPr>
        <w:t>International Journal of Morphology</w:t>
      </w:r>
      <w:r w:rsidRPr="00907E4C">
        <w:rPr>
          <w:rFonts w:ascii="Arial" w:hAnsi="Arial" w:cs="Arial"/>
          <w:sz w:val="20"/>
          <w:szCs w:val="20"/>
          <w:lang w:val="en-US"/>
        </w:rPr>
        <w:t xml:space="preserve">, </w:t>
      </w:r>
      <w:r w:rsidRPr="00907E4C">
        <w:rPr>
          <w:rFonts w:ascii="Arial" w:hAnsi="Arial" w:cs="Arial"/>
          <w:i/>
          <w:iCs/>
          <w:sz w:val="20"/>
          <w:szCs w:val="20"/>
          <w:lang w:val="en-US"/>
        </w:rPr>
        <w:t>42</w:t>
      </w:r>
      <w:r w:rsidRPr="00907E4C">
        <w:rPr>
          <w:rFonts w:ascii="Arial" w:hAnsi="Arial" w:cs="Arial"/>
          <w:sz w:val="20"/>
          <w:szCs w:val="20"/>
          <w:lang w:val="en-US"/>
        </w:rPr>
        <w:t xml:space="preserve">(3), 741-748. </w:t>
      </w:r>
      <w:hyperlink r:id="rId45" w:history="1">
        <w:r w:rsidRPr="00907E4C">
          <w:rPr>
            <w:rStyle w:val="Hyperlink"/>
            <w:rFonts w:ascii="Arial" w:hAnsi="Arial" w:cs="Arial"/>
            <w:sz w:val="20"/>
            <w:szCs w:val="20"/>
            <w:lang w:val="en-US"/>
          </w:rPr>
          <w:t>https://dx.doi.org/10.4067/s0717-95022024000300741</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Okougbo, P.  &amp; Okike, E.  (2021). Teaching strategies in accounting ethics: a students’ assessment of preferred teaching styles. </w:t>
      </w:r>
      <w:r w:rsidRPr="00907E4C">
        <w:rPr>
          <w:rFonts w:ascii="Arial" w:hAnsi="Arial" w:cs="Arial"/>
          <w:i/>
          <w:iCs/>
          <w:sz w:val="20"/>
          <w:szCs w:val="20"/>
          <w:lang w:val="en-US"/>
        </w:rPr>
        <w:t>Cogent Social Sciences</w:t>
      </w:r>
      <w:r w:rsidRPr="00907E4C">
        <w:rPr>
          <w:rFonts w:ascii="Arial" w:hAnsi="Arial" w:cs="Arial"/>
          <w:sz w:val="20"/>
          <w:szCs w:val="20"/>
          <w:lang w:val="en-US"/>
        </w:rPr>
        <w:t xml:space="preserve">, </w:t>
      </w:r>
      <w:r w:rsidRPr="00907E4C">
        <w:rPr>
          <w:rFonts w:ascii="Arial" w:hAnsi="Arial" w:cs="Arial"/>
          <w:i/>
          <w:iCs/>
          <w:sz w:val="20"/>
          <w:szCs w:val="20"/>
          <w:lang w:val="en-US"/>
        </w:rPr>
        <w:t>7</w:t>
      </w:r>
      <w:r w:rsidRPr="00907E4C">
        <w:rPr>
          <w:rFonts w:ascii="Arial" w:hAnsi="Arial" w:cs="Arial"/>
          <w:sz w:val="20"/>
          <w:szCs w:val="20"/>
          <w:lang w:val="en-US"/>
        </w:rPr>
        <w:t xml:space="preserve">(1). </w:t>
      </w:r>
      <w:hyperlink r:id="rId46" w:history="1">
        <w:r w:rsidRPr="00907E4C">
          <w:rPr>
            <w:rStyle w:val="Hyperlink"/>
            <w:rFonts w:ascii="Arial" w:hAnsi="Arial" w:cs="Arial"/>
            <w:sz w:val="20"/>
            <w:szCs w:val="20"/>
            <w:lang w:val="en-US"/>
          </w:rPr>
          <w:t>https://doi.org/10.1080/23311886.2021.1950306</w:t>
        </w:r>
      </w:hyperlink>
      <w:r w:rsidRPr="00907E4C">
        <w:rPr>
          <w:rFonts w:ascii="Arial" w:hAnsi="Arial" w:cs="Arial"/>
          <w:sz w:val="20"/>
          <w:szCs w:val="20"/>
          <w:lang w:val="en-US"/>
        </w:rPr>
        <w:t xml:space="preserve"> </w:t>
      </w:r>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Panganiban, J., &amp; Kasari, C. (2023). Educators apply new teaching strategies despite initial attributions of autistic students’ controllability of their behaviors. </w:t>
      </w:r>
      <w:r w:rsidRPr="00907E4C">
        <w:rPr>
          <w:rFonts w:ascii="Arial" w:hAnsi="Arial" w:cs="Arial"/>
          <w:i/>
          <w:iCs/>
          <w:sz w:val="20"/>
          <w:szCs w:val="20"/>
          <w:lang w:val="en-US"/>
        </w:rPr>
        <w:t>International Journal of Developmental Disabilities</w:t>
      </w:r>
      <w:r w:rsidRPr="00907E4C">
        <w:rPr>
          <w:rFonts w:ascii="Arial" w:hAnsi="Arial" w:cs="Arial"/>
          <w:sz w:val="20"/>
          <w:szCs w:val="20"/>
          <w:lang w:val="en-US"/>
        </w:rPr>
        <w:t xml:space="preserve">, </w:t>
      </w:r>
      <w:r w:rsidRPr="00907E4C">
        <w:rPr>
          <w:rFonts w:ascii="Arial" w:hAnsi="Arial" w:cs="Arial"/>
          <w:i/>
          <w:iCs/>
          <w:sz w:val="20"/>
          <w:szCs w:val="20"/>
          <w:lang w:val="en-US"/>
        </w:rPr>
        <w:t>69</w:t>
      </w:r>
      <w:r w:rsidRPr="00907E4C">
        <w:rPr>
          <w:rFonts w:ascii="Arial" w:hAnsi="Arial" w:cs="Arial"/>
          <w:sz w:val="20"/>
          <w:szCs w:val="20"/>
          <w:lang w:val="en-US"/>
        </w:rPr>
        <w:t xml:space="preserve">(3), 379–385. </w:t>
      </w:r>
      <w:hyperlink r:id="rId47" w:history="1">
        <w:r w:rsidRPr="00907E4C">
          <w:rPr>
            <w:rStyle w:val="Hyperlink"/>
            <w:rFonts w:ascii="Arial" w:hAnsi="Arial" w:cs="Arial"/>
            <w:sz w:val="20"/>
            <w:szCs w:val="20"/>
            <w:lang w:val="en-US"/>
          </w:rPr>
          <w:t>https://doi.org/10.1080/20473869.2023.2204560</w:t>
        </w:r>
      </w:hyperlink>
      <w:r w:rsidRPr="00907E4C">
        <w:rPr>
          <w:rFonts w:ascii="Arial" w:hAnsi="Arial" w:cs="Arial"/>
          <w:sz w:val="20"/>
          <w:szCs w:val="20"/>
          <w:lang w:val="en-US"/>
        </w:rPr>
        <w:t xml:space="preserve"> </w:t>
      </w:r>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lang w:val="en-US"/>
        </w:rPr>
        <w:t xml:space="preserve">Sánchez, I., Herrera, E. &amp; Pulgar, J. (2024). </w:t>
      </w:r>
      <w:r w:rsidRPr="00907E4C">
        <w:rPr>
          <w:rFonts w:ascii="Arial" w:hAnsi="Arial" w:cs="Arial"/>
          <w:sz w:val="20"/>
          <w:szCs w:val="20"/>
        </w:rPr>
        <w:t xml:space="preserve">Análisis de prácticas pedagógicas en la enseñanza de física general: un enfoque por competencias bajo estructura modular en carreras de ingeniería. </w:t>
      </w:r>
      <w:r w:rsidRPr="00907E4C">
        <w:rPr>
          <w:rFonts w:ascii="Arial" w:hAnsi="Arial" w:cs="Arial"/>
          <w:i/>
          <w:iCs/>
          <w:sz w:val="20"/>
          <w:szCs w:val="20"/>
        </w:rPr>
        <w:t>Formación universitaria</w:t>
      </w:r>
      <w:r w:rsidRPr="00907E4C">
        <w:rPr>
          <w:rFonts w:ascii="Arial" w:hAnsi="Arial" w:cs="Arial"/>
          <w:sz w:val="20"/>
          <w:szCs w:val="20"/>
        </w:rPr>
        <w:t xml:space="preserve">, </w:t>
      </w:r>
      <w:r w:rsidRPr="00907E4C">
        <w:rPr>
          <w:rFonts w:ascii="Arial" w:hAnsi="Arial" w:cs="Arial"/>
          <w:i/>
          <w:iCs/>
          <w:sz w:val="20"/>
          <w:szCs w:val="20"/>
        </w:rPr>
        <w:t>17</w:t>
      </w:r>
      <w:r w:rsidRPr="00907E4C">
        <w:rPr>
          <w:rFonts w:ascii="Arial" w:hAnsi="Arial" w:cs="Arial"/>
          <w:sz w:val="20"/>
          <w:szCs w:val="20"/>
        </w:rPr>
        <w:t xml:space="preserve">(5), 139-150. </w:t>
      </w:r>
      <w:hyperlink r:id="rId48" w:history="1">
        <w:r w:rsidRPr="00907E4C">
          <w:rPr>
            <w:rStyle w:val="Hyperlink"/>
            <w:rFonts w:ascii="Arial" w:hAnsi="Arial" w:cs="Arial"/>
            <w:sz w:val="20"/>
            <w:szCs w:val="20"/>
          </w:rPr>
          <w:t>https://dx.doi.org/10.4067/s0718-50062024000500139</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rPr>
        <w:t xml:space="preserve">Schneider, R., Belmudes, Clement, L. &amp; Kemczinski, A. (2024). </w:t>
      </w:r>
      <w:r w:rsidRPr="00907E4C">
        <w:rPr>
          <w:rFonts w:ascii="Arial" w:hAnsi="Arial" w:cs="Arial"/>
          <w:sz w:val="20"/>
          <w:szCs w:val="20"/>
          <w:lang w:val="pt-BR"/>
        </w:rPr>
        <w:t xml:space="preserve">O role-playing game (rpg) no ensino de física: promovendo a autonomia e a qualidade motivacional dos estudantes. </w:t>
      </w:r>
      <w:r w:rsidRPr="00907E4C">
        <w:rPr>
          <w:rFonts w:ascii="Arial" w:hAnsi="Arial" w:cs="Arial"/>
          <w:i/>
          <w:iCs/>
          <w:sz w:val="20"/>
          <w:szCs w:val="20"/>
        </w:rPr>
        <w:t>Revista electrónica de investigación en educación en ciencias</w:t>
      </w:r>
      <w:r w:rsidRPr="00907E4C">
        <w:rPr>
          <w:rFonts w:ascii="Arial" w:hAnsi="Arial" w:cs="Arial"/>
          <w:sz w:val="20"/>
          <w:szCs w:val="20"/>
        </w:rPr>
        <w:t xml:space="preserve">, </w:t>
      </w:r>
      <w:r w:rsidRPr="00907E4C">
        <w:rPr>
          <w:rFonts w:ascii="Arial" w:hAnsi="Arial" w:cs="Arial"/>
          <w:i/>
          <w:iCs/>
          <w:sz w:val="20"/>
          <w:szCs w:val="20"/>
        </w:rPr>
        <w:t>19</w:t>
      </w:r>
      <w:r w:rsidRPr="00907E4C">
        <w:rPr>
          <w:rFonts w:ascii="Arial" w:hAnsi="Arial" w:cs="Arial"/>
          <w:sz w:val="20"/>
          <w:szCs w:val="20"/>
        </w:rPr>
        <w:t xml:space="preserve">(2), 16-29. </w:t>
      </w:r>
      <w:hyperlink r:id="rId49" w:history="1">
        <w:r w:rsidRPr="00907E4C">
          <w:rPr>
            <w:rStyle w:val="Hyperlink"/>
            <w:rFonts w:ascii="Arial" w:hAnsi="Arial" w:cs="Arial"/>
            <w:sz w:val="20"/>
            <w:szCs w:val="20"/>
          </w:rPr>
          <w:t>https://dx.doi.org/10.54343/reiec.v19i2.381</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Schoenmaker, J., Houdijk, H., Steenbergen, B., Reinders-Messelink, H. A., &amp; Schoemaker, M. M. (2024). OPTIMAL Motor Teaching Strategies Employed in Physiotherapy for Children with Developmental Coordination Disorder: An Observational Study. </w:t>
      </w:r>
      <w:r w:rsidRPr="00907E4C">
        <w:rPr>
          <w:rFonts w:ascii="Arial" w:hAnsi="Arial" w:cs="Arial"/>
          <w:i/>
          <w:iCs/>
          <w:sz w:val="20"/>
          <w:szCs w:val="20"/>
          <w:lang w:val="en-US"/>
        </w:rPr>
        <w:t>Physical &amp; Occupational Therapy In Pediatrics</w:t>
      </w:r>
      <w:r w:rsidRPr="00907E4C">
        <w:rPr>
          <w:rFonts w:ascii="Arial" w:hAnsi="Arial" w:cs="Arial"/>
          <w:sz w:val="20"/>
          <w:szCs w:val="20"/>
          <w:lang w:val="en-US"/>
        </w:rPr>
        <w:t xml:space="preserve">, </w:t>
      </w:r>
      <w:r w:rsidRPr="00907E4C">
        <w:rPr>
          <w:rFonts w:ascii="Arial" w:hAnsi="Arial" w:cs="Arial"/>
          <w:i/>
          <w:iCs/>
          <w:sz w:val="20"/>
          <w:szCs w:val="20"/>
          <w:lang w:val="en-US"/>
        </w:rPr>
        <w:t>45</w:t>
      </w:r>
      <w:r w:rsidRPr="00907E4C">
        <w:rPr>
          <w:rFonts w:ascii="Arial" w:hAnsi="Arial" w:cs="Arial"/>
          <w:sz w:val="20"/>
          <w:szCs w:val="20"/>
          <w:lang w:val="en-US"/>
        </w:rPr>
        <w:t xml:space="preserve">(2), 153–168. </w:t>
      </w:r>
      <w:hyperlink r:id="rId50" w:history="1">
        <w:r w:rsidRPr="00907E4C">
          <w:rPr>
            <w:rStyle w:val="Hyperlink"/>
            <w:rFonts w:ascii="Arial" w:hAnsi="Arial" w:cs="Arial"/>
            <w:sz w:val="20"/>
            <w:szCs w:val="20"/>
            <w:lang w:val="en-US"/>
          </w:rPr>
          <w:t>https://doi.org/10.1080/01942638.2024.2404466</w:t>
        </w:r>
      </w:hyperlink>
      <w:r w:rsidRPr="00907E4C">
        <w:rPr>
          <w:rFonts w:ascii="Arial" w:hAnsi="Arial" w:cs="Arial"/>
          <w:sz w:val="20"/>
          <w:szCs w:val="20"/>
          <w:lang w:val="en-US"/>
        </w:rPr>
        <w:t xml:space="preserve"> </w:t>
      </w:r>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lang w:val="en-US"/>
        </w:rPr>
        <w:t xml:space="preserve">Tapullima-Mori, C., Montalvo Apolin, D. &amp; Bobadilla, S. (2024). </w:t>
      </w:r>
      <w:r w:rsidRPr="00907E4C">
        <w:rPr>
          <w:rFonts w:ascii="Arial" w:hAnsi="Arial" w:cs="Arial"/>
          <w:sz w:val="20"/>
          <w:szCs w:val="20"/>
        </w:rPr>
        <w:t xml:space="preserve">Estrategias didácticas en la asesoría de tesis para desarrollar competencias investigativas: perspectivas de docentes y estudiantes. </w:t>
      </w:r>
      <w:r w:rsidRPr="00907E4C">
        <w:rPr>
          <w:rFonts w:ascii="Arial" w:hAnsi="Arial" w:cs="Arial"/>
          <w:i/>
          <w:iCs/>
          <w:sz w:val="20"/>
          <w:szCs w:val="20"/>
        </w:rPr>
        <w:t>Revista Digital de Investigación en Docencia Universitaria</w:t>
      </w:r>
      <w:r w:rsidRPr="00907E4C">
        <w:rPr>
          <w:rFonts w:ascii="Arial" w:hAnsi="Arial" w:cs="Arial"/>
          <w:sz w:val="20"/>
          <w:szCs w:val="20"/>
        </w:rPr>
        <w:t xml:space="preserve">, </w:t>
      </w:r>
      <w:r w:rsidRPr="00907E4C">
        <w:rPr>
          <w:rFonts w:ascii="Arial" w:hAnsi="Arial" w:cs="Arial"/>
          <w:i/>
          <w:iCs/>
          <w:sz w:val="20"/>
          <w:szCs w:val="20"/>
        </w:rPr>
        <w:t>18</w:t>
      </w:r>
      <w:r w:rsidRPr="00907E4C">
        <w:rPr>
          <w:rFonts w:ascii="Arial" w:hAnsi="Arial" w:cs="Arial"/>
          <w:sz w:val="20"/>
          <w:szCs w:val="20"/>
        </w:rPr>
        <w:t xml:space="preserve">(2), e1884. </w:t>
      </w:r>
      <w:hyperlink r:id="rId51" w:history="1">
        <w:r w:rsidRPr="00907E4C">
          <w:rPr>
            <w:rStyle w:val="Hyperlink"/>
            <w:rFonts w:ascii="Arial" w:hAnsi="Arial" w:cs="Arial"/>
            <w:sz w:val="20"/>
            <w:szCs w:val="20"/>
          </w:rPr>
          <w:t>https://doi.org/10.19083/ridu.2024.1884</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Van Dorresteijn, C., Meij, M., Pareja Roblin, N., Cornelissen, F., Voogt, J., &amp; Volman, M. (2024). Teaching strategies to facilitate social and cognitive processes in online learning environments. </w:t>
      </w:r>
      <w:r w:rsidRPr="00907E4C">
        <w:rPr>
          <w:rFonts w:ascii="Arial" w:hAnsi="Arial" w:cs="Arial"/>
          <w:i/>
          <w:iCs/>
          <w:sz w:val="20"/>
          <w:szCs w:val="20"/>
          <w:lang w:val="en-US"/>
        </w:rPr>
        <w:t>Pedagogies: An International Journal</w:t>
      </w:r>
      <w:r w:rsidRPr="00907E4C">
        <w:rPr>
          <w:rFonts w:ascii="Arial" w:hAnsi="Arial" w:cs="Arial"/>
          <w:sz w:val="20"/>
          <w:szCs w:val="20"/>
          <w:lang w:val="en-US"/>
        </w:rPr>
        <w:t xml:space="preserve">, </w:t>
      </w:r>
      <w:r w:rsidRPr="00907E4C">
        <w:rPr>
          <w:rFonts w:ascii="Arial" w:hAnsi="Arial" w:cs="Arial"/>
          <w:i/>
          <w:iCs/>
          <w:sz w:val="20"/>
          <w:szCs w:val="20"/>
          <w:lang w:val="en-US"/>
        </w:rPr>
        <w:t>19</w:t>
      </w:r>
      <w:r w:rsidRPr="00907E4C">
        <w:rPr>
          <w:rFonts w:ascii="Arial" w:hAnsi="Arial" w:cs="Arial"/>
          <w:sz w:val="20"/>
          <w:szCs w:val="20"/>
          <w:lang w:val="en-US"/>
        </w:rPr>
        <w:t xml:space="preserve">(3), 421–438. </w:t>
      </w:r>
      <w:hyperlink r:id="rId52" w:history="1">
        <w:r w:rsidRPr="00907E4C">
          <w:rPr>
            <w:rStyle w:val="Hyperlink"/>
            <w:rFonts w:ascii="Arial" w:hAnsi="Arial" w:cs="Arial"/>
            <w:sz w:val="20"/>
            <w:szCs w:val="20"/>
            <w:lang w:val="en-US"/>
          </w:rPr>
          <w:t>https://doi.org/10.1080/1554480X.2024.2379790</w:t>
        </w:r>
      </w:hyperlink>
      <w:r w:rsidRPr="00907E4C">
        <w:rPr>
          <w:rFonts w:ascii="Arial" w:hAnsi="Arial" w:cs="Arial"/>
          <w:sz w:val="20"/>
          <w:szCs w:val="20"/>
          <w:lang w:val="en-US"/>
        </w:rPr>
        <w:t xml:space="preserve"> </w:t>
      </w:r>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lang w:val="en-US"/>
        </w:rPr>
      </w:pPr>
      <w:r w:rsidRPr="00907E4C">
        <w:rPr>
          <w:rFonts w:ascii="Arial" w:hAnsi="Arial" w:cs="Arial"/>
          <w:sz w:val="20"/>
          <w:szCs w:val="20"/>
          <w:lang w:val="en-US"/>
        </w:rPr>
        <w:t xml:space="preserve">Van Wyk, H., &amp; Rosa, C. (2024). An exploratory study to evaluate the teaching strategies in the hybrid higher education classroom. </w:t>
      </w:r>
      <w:r w:rsidRPr="00907E4C">
        <w:rPr>
          <w:rFonts w:ascii="Arial" w:hAnsi="Arial" w:cs="Arial"/>
          <w:i/>
          <w:iCs/>
          <w:sz w:val="20"/>
          <w:szCs w:val="20"/>
          <w:lang w:val="en-US"/>
        </w:rPr>
        <w:t>South African Journal of Higher Education</w:t>
      </w:r>
      <w:r w:rsidRPr="00907E4C">
        <w:rPr>
          <w:rFonts w:ascii="Arial" w:hAnsi="Arial" w:cs="Arial"/>
          <w:sz w:val="20"/>
          <w:szCs w:val="20"/>
          <w:lang w:val="en-US"/>
        </w:rPr>
        <w:t xml:space="preserve">, </w:t>
      </w:r>
      <w:r w:rsidRPr="00907E4C">
        <w:rPr>
          <w:rFonts w:ascii="Arial" w:hAnsi="Arial" w:cs="Arial"/>
          <w:i/>
          <w:iCs/>
          <w:sz w:val="20"/>
          <w:szCs w:val="20"/>
          <w:lang w:val="en-US"/>
        </w:rPr>
        <w:t>38</w:t>
      </w:r>
      <w:r w:rsidRPr="00907E4C">
        <w:rPr>
          <w:rFonts w:ascii="Arial" w:hAnsi="Arial" w:cs="Arial"/>
          <w:sz w:val="20"/>
          <w:szCs w:val="20"/>
          <w:lang w:val="en-US"/>
        </w:rPr>
        <w:t xml:space="preserve">(3), 211-229. </w:t>
      </w:r>
      <w:hyperlink r:id="rId53" w:history="1">
        <w:r w:rsidRPr="00907E4C">
          <w:rPr>
            <w:rStyle w:val="Hyperlink"/>
            <w:rFonts w:ascii="Arial" w:hAnsi="Arial" w:cs="Arial"/>
            <w:sz w:val="20"/>
            <w:szCs w:val="20"/>
            <w:lang w:val="en-US"/>
          </w:rPr>
          <w:t>https://doi.org/10.20853/38-3-6371</w:t>
        </w:r>
      </w:hyperlink>
    </w:p>
    <w:p w:rsidR="00907E4C" w:rsidRPr="00907E4C" w:rsidRDefault="00907E4C" w:rsidP="00074CDE">
      <w:pPr>
        <w:widowControl w:val="0"/>
        <w:autoSpaceDE w:val="0"/>
        <w:autoSpaceDN w:val="0"/>
        <w:adjustRightInd w:val="0"/>
        <w:spacing w:after="0" w:line="240" w:lineRule="auto"/>
        <w:ind w:left="480" w:hanging="480"/>
        <w:jc w:val="both"/>
        <w:rPr>
          <w:rFonts w:ascii="Arial" w:hAnsi="Arial" w:cs="Arial"/>
          <w:sz w:val="20"/>
          <w:szCs w:val="20"/>
        </w:rPr>
      </w:pPr>
      <w:r w:rsidRPr="00907E4C">
        <w:rPr>
          <w:rFonts w:ascii="Arial" w:hAnsi="Arial" w:cs="Arial"/>
          <w:sz w:val="20"/>
          <w:szCs w:val="20"/>
          <w:lang w:val="en-US"/>
        </w:rPr>
        <w:t xml:space="preserve">Vélez Basurto, E., Bucaran Intriago, C. &amp; García Murillo, G. (2024). </w:t>
      </w:r>
      <w:r w:rsidRPr="00907E4C">
        <w:rPr>
          <w:rFonts w:ascii="Arial" w:hAnsi="Arial" w:cs="Arial"/>
          <w:sz w:val="20"/>
          <w:szCs w:val="20"/>
        </w:rPr>
        <w:t xml:space="preserve">El Khan Academy como estrategia digital para el desarrollo del pensamiento matemático. </w:t>
      </w:r>
      <w:r w:rsidRPr="00907E4C">
        <w:rPr>
          <w:rFonts w:ascii="Arial" w:hAnsi="Arial" w:cs="Arial"/>
          <w:i/>
          <w:iCs/>
          <w:sz w:val="20"/>
          <w:szCs w:val="20"/>
        </w:rPr>
        <w:t>Revista San Gregorio</w:t>
      </w:r>
      <w:r w:rsidRPr="00907E4C">
        <w:rPr>
          <w:rFonts w:ascii="Arial" w:hAnsi="Arial" w:cs="Arial"/>
          <w:sz w:val="20"/>
          <w:szCs w:val="20"/>
        </w:rPr>
        <w:t xml:space="preserve">, </w:t>
      </w:r>
      <w:r w:rsidRPr="00907E4C">
        <w:rPr>
          <w:rFonts w:ascii="Arial" w:hAnsi="Arial" w:cs="Arial"/>
          <w:i/>
          <w:iCs/>
          <w:sz w:val="20"/>
          <w:szCs w:val="20"/>
        </w:rPr>
        <w:t>1</w:t>
      </w:r>
      <w:r w:rsidRPr="00907E4C">
        <w:rPr>
          <w:rFonts w:ascii="Arial" w:hAnsi="Arial" w:cs="Arial"/>
          <w:sz w:val="20"/>
          <w:szCs w:val="20"/>
        </w:rPr>
        <w:t xml:space="preserve">(58), 40-45. </w:t>
      </w:r>
      <w:hyperlink r:id="rId54" w:history="1">
        <w:r w:rsidRPr="00907E4C">
          <w:rPr>
            <w:rStyle w:val="Hyperlink"/>
            <w:rFonts w:ascii="Arial" w:hAnsi="Arial" w:cs="Arial"/>
            <w:sz w:val="20"/>
            <w:szCs w:val="20"/>
          </w:rPr>
          <w:t>https://doi.org/10.36097/rsan.v1i58.2739</w:t>
        </w:r>
      </w:hyperlink>
    </w:p>
    <w:sectPr w:rsidR="00907E4C" w:rsidRPr="00907E4C" w:rsidSect="00627E06">
      <w:footerReference w:type="default" r:id="rId55"/>
      <w:footerReference w:type="first" r:id="rId56"/>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9A0" w:rsidRDefault="00B239A0" w:rsidP="00683E7D">
      <w:pPr>
        <w:spacing w:after="0" w:line="240" w:lineRule="auto"/>
      </w:pPr>
      <w:r>
        <w:separator/>
      </w:r>
    </w:p>
  </w:endnote>
  <w:endnote w:type="continuationSeparator" w:id="0">
    <w:p w:rsidR="00B239A0" w:rsidRDefault="00B239A0"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rompt">
    <w:panose1 w:val="00000500000000000000"/>
    <w:charset w:val="DE"/>
    <w:family w:val="auto"/>
    <w:pitch w:val="variable"/>
    <w:sig w:usb0="21000007" w:usb1="00000001" w:usb2="00000000" w:usb3="00000000" w:csb0="00010193" w:csb1="00000000"/>
  </w:font>
  <w:font w:name="Poppins Black">
    <w:panose1 w:val="00000A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E06" w:rsidRPr="00627E06" w:rsidRDefault="00C43886" w:rsidP="00627E06">
    <w:pPr>
      <w:spacing w:after="0" w:line="240" w:lineRule="auto"/>
      <w:rPr>
        <w:rFonts w:ascii="Prompt" w:hAnsi="Prompt" w:cs="Prompt"/>
        <w:color w:val="1C4894"/>
        <w:sz w:val="16"/>
        <w:szCs w:val="16"/>
      </w:rPr>
    </w:pPr>
    <w:r>
      <w:rPr>
        <w:rFonts w:ascii="Prompt" w:hAnsi="Prompt" w:cs="Prompt"/>
        <w:color w:val="1C4894"/>
        <w:sz w:val="16"/>
        <w:szCs w:val="16"/>
      </w:rPr>
      <w:t>Garcia, T., Sulca, J., &amp; Carazas, C.</w:t>
    </w:r>
    <w:r w:rsidR="00627E06" w:rsidRPr="00627E06">
      <w:rPr>
        <w:rFonts w:ascii="Prompt" w:hAnsi="Prompt" w:cs="Prompt"/>
        <w:color w:val="1C4894"/>
        <w:sz w:val="16"/>
        <w:szCs w:val="16"/>
      </w:rPr>
      <w:t xml:space="preserve"> (202</w:t>
    </w:r>
    <w:r w:rsidR="001E6965">
      <w:rPr>
        <w:rFonts w:ascii="Prompt" w:hAnsi="Prompt" w:cs="Prompt"/>
        <w:color w:val="1C4894"/>
        <w:sz w:val="16"/>
        <w:szCs w:val="16"/>
      </w:rPr>
      <w:t>6</w:t>
    </w:r>
    <w:r>
      <w:rPr>
        <w:rFonts w:ascii="Prompt" w:hAnsi="Prompt" w:cs="Prompt"/>
        <w:color w:val="1C4894"/>
        <w:sz w:val="16"/>
        <w:szCs w:val="16"/>
      </w:rPr>
      <w:t xml:space="preserve">). </w:t>
    </w:r>
    <w:r w:rsidRPr="00C43886">
      <w:rPr>
        <w:rFonts w:ascii="Prompt" w:hAnsi="Prompt" w:cs="Prompt"/>
        <w:color w:val="1C4894"/>
        <w:sz w:val="16"/>
        <w:szCs w:val="16"/>
      </w:rPr>
      <w:t>Estrategias didácticas para el aprendizaje: una revisión sistemática</w:t>
    </w:r>
    <w:r w:rsidR="00627E06">
      <w:rPr>
        <w:rFonts w:ascii="Prompt" w:hAnsi="Prompt" w:cs="Prompt"/>
        <w:color w:val="1C4894"/>
        <w:sz w:val="16"/>
        <w:szCs w:val="16"/>
      </w:rPr>
      <w:t xml:space="preserve">. </w:t>
    </w:r>
    <w:r w:rsidR="00627E06" w:rsidRPr="00627E06">
      <w:rPr>
        <w:rFonts w:ascii="Prompt" w:hAnsi="Prompt" w:cs="Prompt"/>
        <w:i/>
        <w:iCs/>
        <w:color w:val="1C4894"/>
        <w:sz w:val="16"/>
        <w:szCs w:val="16"/>
      </w:rPr>
      <w:t xml:space="preserve">Revista InveCom, </w:t>
    </w:r>
    <w:r w:rsidR="00F3007A">
      <w:rPr>
        <w:rFonts w:ascii="Prompt" w:hAnsi="Prompt" w:cs="Prompt"/>
        <w:i/>
        <w:iCs/>
        <w:color w:val="1C4894"/>
        <w:sz w:val="16"/>
        <w:szCs w:val="16"/>
      </w:rPr>
      <w:t xml:space="preserve">6 </w:t>
    </w:r>
    <w:r w:rsidR="00627E06" w:rsidRPr="00627E06">
      <w:rPr>
        <w:rFonts w:ascii="Prompt" w:hAnsi="Prompt" w:cs="Prompt"/>
        <w:color w:val="1C4894"/>
        <w:sz w:val="16"/>
        <w:szCs w:val="16"/>
      </w:rPr>
      <w:t>(</w:t>
    </w:r>
    <w:r w:rsidR="00F3007A">
      <w:rPr>
        <w:rFonts w:ascii="Prompt" w:hAnsi="Prompt" w:cs="Prompt"/>
        <w:color w:val="1C4894"/>
        <w:sz w:val="16"/>
        <w:szCs w:val="16"/>
      </w:rPr>
      <w:t>1</w:t>
    </w:r>
    <w:r w:rsidR="00627E06" w:rsidRPr="00627E06">
      <w:rPr>
        <w:rFonts w:ascii="Prompt" w:hAnsi="Prompt" w:cs="Prompt"/>
        <w:color w:val="1C4894"/>
        <w:sz w:val="16"/>
        <w:szCs w:val="16"/>
      </w:rPr>
      <w:t xml:space="preserve">). </w:t>
    </w:r>
    <w:r w:rsidR="007352BA">
      <w:rPr>
        <w:rFonts w:ascii="Prompt" w:hAnsi="Prompt" w:cs="Prompt"/>
        <w:color w:val="1C4894"/>
        <w:sz w:val="16"/>
        <w:szCs w:val="16"/>
      </w:rPr>
      <w:t>1-</w:t>
    </w:r>
    <w:r>
      <w:rPr>
        <w:rFonts w:ascii="Prompt" w:hAnsi="Prompt" w:cs="Prompt"/>
        <w:color w:val="1C4894"/>
        <w:sz w:val="16"/>
        <w:szCs w:val="16"/>
      </w:rPr>
      <w:t>11</w:t>
    </w:r>
  </w:p>
  <w:p w:rsidR="00683E7D" w:rsidRPr="002D2ADB" w:rsidRDefault="00A17E32" w:rsidP="00683E7D">
    <w:pPr>
      <w:pStyle w:val="Footer"/>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28046B58" wp14:editId="1CF8996C">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546A3AA"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4C96D853" wp14:editId="4325A11F">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E9CCEE"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00683E7D" w:rsidRPr="002D2ADB">
      <w:rPr>
        <w:rFonts w:ascii="Prompt" w:hAnsi="Prompt" w:cs="Prompt"/>
        <w:color w:val="FFFFFF"/>
        <w:sz w:val="28"/>
        <w:szCs w:val="28"/>
      </w:rPr>
      <w:fldChar w:fldCharType="begin"/>
    </w:r>
    <w:r w:rsidR="00683E7D" w:rsidRPr="002D2ADB">
      <w:rPr>
        <w:rFonts w:ascii="Prompt" w:hAnsi="Prompt" w:cs="Prompt"/>
        <w:color w:val="FFFFFF"/>
        <w:sz w:val="28"/>
        <w:szCs w:val="28"/>
      </w:rPr>
      <w:instrText>PAGE   \* MERGEFORMAT</w:instrText>
    </w:r>
    <w:r w:rsidR="00683E7D" w:rsidRPr="002D2ADB">
      <w:rPr>
        <w:rFonts w:ascii="Prompt" w:hAnsi="Prompt" w:cs="Prompt"/>
        <w:color w:val="FFFFFF"/>
        <w:sz w:val="28"/>
        <w:szCs w:val="28"/>
      </w:rPr>
      <w:fldChar w:fldCharType="separate"/>
    </w:r>
    <w:r w:rsidR="007E5EEC" w:rsidRPr="007E5EEC">
      <w:rPr>
        <w:rFonts w:ascii="Prompt" w:hAnsi="Prompt" w:cs="Prompt"/>
        <w:noProof/>
        <w:color w:val="FFFFFF"/>
        <w:sz w:val="28"/>
        <w:szCs w:val="28"/>
        <w:lang w:val="es-ES"/>
      </w:rPr>
      <w:t>2</w:t>
    </w:r>
    <w:r w:rsidR="00683E7D"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212" w:rsidRDefault="00A85212">
    <w:pPr>
      <w:pStyle w:val="Footer"/>
      <w:jc w:val="right"/>
    </w:pPr>
  </w:p>
  <w:p w:rsidR="00683E7D" w:rsidRDefault="00683E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9A0" w:rsidRDefault="00B239A0" w:rsidP="00683E7D">
      <w:pPr>
        <w:spacing w:after="0" w:line="240" w:lineRule="auto"/>
      </w:pPr>
      <w:r>
        <w:separator/>
      </w:r>
    </w:p>
  </w:footnote>
  <w:footnote w:type="continuationSeparator" w:id="0">
    <w:p w:rsidR="00B239A0" w:rsidRDefault="00B239A0" w:rsidP="00683E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51F"/>
    <w:rsid w:val="000157AB"/>
    <w:rsid w:val="000529D8"/>
    <w:rsid w:val="00053251"/>
    <w:rsid w:val="000624DD"/>
    <w:rsid w:val="00070288"/>
    <w:rsid w:val="00074CDE"/>
    <w:rsid w:val="00083D90"/>
    <w:rsid w:val="00111DD2"/>
    <w:rsid w:val="001415B4"/>
    <w:rsid w:val="001443AC"/>
    <w:rsid w:val="001844A0"/>
    <w:rsid w:val="001E6965"/>
    <w:rsid w:val="00255017"/>
    <w:rsid w:val="00280FF4"/>
    <w:rsid w:val="002D2ADB"/>
    <w:rsid w:val="002E4A19"/>
    <w:rsid w:val="00311E21"/>
    <w:rsid w:val="003224C4"/>
    <w:rsid w:val="003356D1"/>
    <w:rsid w:val="00382D16"/>
    <w:rsid w:val="003B162A"/>
    <w:rsid w:val="003F5B3B"/>
    <w:rsid w:val="00412544"/>
    <w:rsid w:val="00461AE1"/>
    <w:rsid w:val="00464628"/>
    <w:rsid w:val="00481665"/>
    <w:rsid w:val="00491C48"/>
    <w:rsid w:val="004D4964"/>
    <w:rsid w:val="004F029A"/>
    <w:rsid w:val="005E7AC1"/>
    <w:rsid w:val="00615726"/>
    <w:rsid w:val="00620B13"/>
    <w:rsid w:val="00627E06"/>
    <w:rsid w:val="00642908"/>
    <w:rsid w:val="00660156"/>
    <w:rsid w:val="00681B14"/>
    <w:rsid w:val="00683E7D"/>
    <w:rsid w:val="00684007"/>
    <w:rsid w:val="0069668E"/>
    <w:rsid w:val="007150CB"/>
    <w:rsid w:val="007352BA"/>
    <w:rsid w:val="007A199B"/>
    <w:rsid w:val="007B5C74"/>
    <w:rsid w:val="007E5EEC"/>
    <w:rsid w:val="00802B39"/>
    <w:rsid w:val="00835236"/>
    <w:rsid w:val="0085611B"/>
    <w:rsid w:val="00860E7D"/>
    <w:rsid w:val="00876224"/>
    <w:rsid w:val="009024DB"/>
    <w:rsid w:val="00907E4C"/>
    <w:rsid w:val="0092094D"/>
    <w:rsid w:val="00921D72"/>
    <w:rsid w:val="009447C3"/>
    <w:rsid w:val="0098556A"/>
    <w:rsid w:val="009B1897"/>
    <w:rsid w:val="009C1C68"/>
    <w:rsid w:val="009D505C"/>
    <w:rsid w:val="00A04258"/>
    <w:rsid w:val="00A163E6"/>
    <w:rsid w:val="00A17E32"/>
    <w:rsid w:val="00A3466C"/>
    <w:rsid w:val="00A43C2D"/>
    <w:rsid w:val="00A62C94"/>
    <w:rsid w:val="00A8117F"/>
    <w:rsid w:val="00A85212"/>
    <w:rsid w:val="00AE25E2"/>
    <w:rsid w:val="00B01F07"/>
    <w:rsid w:val="00B1415C"/>
    <w:rsid w:val="00B239A0"/>
    <w:rsid w:val="00B2525B"/>
    <w:rsid w:val="00B3451F"/>
    <w:rsid w:val="00B50DF0"/>
    <w:rsid w:val="00B51632"/>
    <w:rsid w:val="00B542A6"/>
    <w:rsid w:val="00B55A37"/>
    <w:rsid w:val="00B56396"/>
    <w:rsid w:val="00BD65DF"/>
    <w:rsid w:val="00BF337B"/>
    <w:rsid w:val="00BF421D"/>
    <w:rsid w:val="00C43886"/>
    <w:rsid w:val="00C65BA7"/>
    <w:rsid w:val="00CB40DD"/>
    <w:rsid w:val="00CC2434"/>
    <w:rsid w:val="00CE3323"/>
    <w:rsid w:val="00CF1F1C"/>
    <w:rsid w:val="00D43043"/>
    <w:rsid w:val="00D47DF0"/>
    <w:rsid w:val="00DE6601"/>
    <w:rsid w:val="00E14C58"/>
    <w:rsid w:val="00E271E2"/>
    <w:rsid w:val="00E3578B"/>
    <w:rsid w:val="00E80AAF"/>
    <w:rsid w:val="00EF28BE"/>
    <w:rsid w:val="00F04A38"/>
    <w:rsid w:val="00F3007A"/>
    <w:rsid w:val="00F51940"/>
    <w:rsid w:val="00F763D7"/>
    <w:rsid w:val="00FA1EAD"/>
    <w:rsid w:val="00FF08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182AE"/>
  <w15:chartTrackingRefBased/>
  <w15:docId w15:val="{12984C23-9F27-4FDC-8300-E2C8B2F76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D8"/>
    <w:pPr>
      <w:spacing w:after="160" w:line="259" w:lineRule="auto"/>
    </w:pPr>
    <w:rPr>
      <w:kern w:val="2"/>
      <w:sz w:val="22"/>
      <w:szCs w:val="22"/>
      <w:lang w:eastAsia="en-US"/>
    </w:rPr>
  </w:style>
  <w:style w:type="paragraph" w:styleId="Heading1">
    <w:name w:val="heading 1"/>
    <w:basedOn w:val="Normal"/>
    <w:next w:val="Normal"/>
    <w:link w:val="Heading1Char"/>
    <w:uiPriority w:val="9"/>
    <w:qFormat/>
    <w:rsid w:val="00461AE1"/>
    <w:pPr>
      <w:keepNext/>
      <w:keepLines/>
      <w:spacing w:before="240" w:after="0"/>
      <w:outlineLvl w:val="0"/>
    </w:pPr>
    <w:rPr>
      <w:rFonts w:ascii="Calibri Light" w:eastAsia="Times New Roman" w:hAnsi="Calibri Light"/>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E4A19"/>
    <w:rPr>
      <w:rFonts w:eastAsia="Times New Roman"/>
      <w:sz w:val="22"/>
      <w:szCs w:val="22"/>
    </w:rPr>
  </w:style>
  <w:style w:type="character" w:customStyle="1" w:styleId="NoSpacingChar">
    <w:name w:val="No Spacing Char"/>
    <w:link w:val="NoSpacing"/>
    <w:uiPriority w:val="1"/>
    <w:rsid w:val="002E4A19"/>
    <w:rPr>
      <w:rFonts w:eastAsia="Times New Roman"/>
      <w:kern w:val="0"/>
      <w:lang w:eastAsia="es-CO"/>
    </w:rPr>
  </w:style>
  <w:style w:type="character" w:customStyle="1" w:styleId="Heading1Char">
    <w:name w:val="Heading 1 Char"/>
    <w:link w:val="Heading1"/>
    <w:uiPriority w:val="9"/>
    <w:rsid w:val="00461AE1"/>
    <w:rPr>
      <w:rFonts w:ascii="Calibri Light" w:eastAsia="Times New Roman" w:hAnsi="Calibri Light" w:cs="Times New Roman"/>
      <w:color w:val="2F5496"/>
      <w:sz w:val="32"/>
      <w:szCs w:val="32"/>
    </w:rPr>
  </w:style>
  <w:style w:type="paragraph" w:styleId="TOCHeading">
    <w:name w:val="TOC Heading"/>
    <w:basedOn w:val="Heading1"/>
    <w:next w:val="Normal"/>
    <w:uiPriority w:val="39"/>
    <w:unhideWhenUsed/>
    <w:qFormat/>
    <w:rsid w:val="00461AE1"/>
    <w:pPr>
      <w:outlineLvl w:val="9"/>
    </w:pPr>
    <w:rPr>
      <w:kern w:val="0"/>
      <w:lang w:eastAsia="es-CO"/>
    </w:rPr>
  </w:style>
  <w:style w:type="character" w:styleId="Hyperlink">
    <w:name w:val="Hyperlink"/>
    <w:uiPriority w:val="99"/>
    <w:unhideWhenUsed/>
    <w:rsid w:val="00620B13"/>
    <w:rPr>
      <w:color w:val="0563C1"/>
      <w:u w:val="single"/>
    </w:rPr>
  </w:style>
  <w:style w:type="character" w:customStyle="1" w:styleId="UnresolvedMention">
    <w:name w:val="Unresolved Mention"/>
    <w:uiPriority w:val="99"/>
    <w:semiHidden/>
    <w:unhideWhenUsed/>
    <w:rsid w:val="00620B13"/>
    <w:rPr>
      <w:color w:val="605E5C"/>
      <w:shd w:val="clear" w:color="auto" w:fill="E1DFDD"/>
    </w:rPr>
  </w:style>
  <w:style w:type="paragraph" w:styleId="Header">
    <w:name w:val="header"/>
    <w:basedOn w:val="Normal"/>
    <w:link w:val="HeaderChar"/>
    <w:uiPriority w:val="99"/>
    <w:unhideWhenUsed/>
    <w:rsid w:val="00683E7D"/>
    <w:pPr>
      <w:tabs>
        <w:tab w:val="center" w:pos="4419"/>
        <w:tab w:val="right" w:pos="8838"/>
      </w:tabs>
      <w:spacing w:after="0" w:line="240" w:lineRule="auto"/>
    </w:pPr>
  </w:style>
  <w:style w:type="character" w:customStyle="1" w:styleId="HeaderChar">
    <w:name w:val="Header Char"/>
    <w:basedOn w:val="DefaultParagraphFont"/>
    <w:link w:val="Header"/>
    <w:uiPriority w:val="99"/>
    <w:rsid w:val="00683E7D"/>
  </w:style>
  <w:style w:type="paragraph" w:styleId="Footer">
    <w:name w:val="footer"/>
    <w:basedOn w:val="Normal"/>
    <w:link w:val="FooterChar"/>
    <w:uiPriority w:val="99"/>
    <w:unhideWhenUsed/>
    <w:rsid w:val="00683E7D"/>
    <w:pPr>
      <w:tabs>
        <w:tab w:val="center" w:pos="4419"/>
        <w:tab w:val="right" w:pos="8838"/>
      </w:tabs>
      <w:spacing w:after="0" w:line="240" w:lineRule="auto"/>
    </w:pPr>
  </w:style>
  <w:style w:type="character" w:customStyle="1" w:styleId="FooterChar">
    <w:name w:val="Footer Char"/>
    <w:basedOn w:val="DefaultParagraphFont"/>
    <w:link w:val="Footer"/>
    <w:uiPriority w:val="99"/>
    <w:rsid w:val="00683E7D"/>
  </w:style>
  <w:style w:type="character" w:styleId="FollowedHyperlink">
    <w:name w:val="FollowedHyperlink"/>
    <w:uiPriority w:val="99"/>
    <w:semiHidden/>
    <w:unhideWhenUsed/>
    <w:rsid w:val="00382D16"/>
    <w:rPr>
      <w:color w:val="954F72"/>
      <w:u w:val="single"/>
    </w:rPr>
  </w:style>
  <w:style w:type="table" w:customStyle="1" w:styleId="TableNormal1">
    <w:name w:val="Table Normal1"/>
    <w:uiPriority w:val="2"/>
    <w:semiHidden/>
    <w:unhideWhenUsed/>
    <w:qFormat/>
    <w:rsid w:val="00B3451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3451F"/>
    <w:pPr>
      <w:widowControl w:val="0"/>
      <w:autoSpaceDE w:val="0"/>
      <w:autoSpaceDN w:val="0"/>
      <w:spacing w:before="45" w:after="0" w:line="240" w:lineRule="auto"/>
      <w:ind w:left="107"/>
    </w:pPr>
    <w:rPr>
      <w:rFonts w:ascii="Times New Roman" w:eastAsia="Times New Roman" w:hAnsi="Times New Roman"/>
      <w:kern w:val="0"/>
      <w:lang w:val="en-US"/>
    </w:rPr>
  </w:style>
  <w:style w:type="table" w:styleId="TableGrid">
    <w:name w:val="Table Grid"/>
    <w:basedOn w:val="TableNormal"/>
    <w:uiPriority w:val="59"/>
    <w:rsid w:val="00F51940"/>
    <w:rPr>
      <w:rFonts w:asciiTheme="minorHAnsi" w:hAnsiTheme="minorHAnsi" w:cstheme="minorBidi"/>
      <w:sz w:val="22"/>
      <w:szCs w:val="22"/>
      <w:lang w:val="es-P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rcid.ejemplo/1231251204123123" TargetMode="External"/><Relationship Id="rId18" Type="http://schemas.openxmlformats.org/officeDocument/2006/relationships/hyperlink" Target="mailto:cesarsulca_lara@hotmail.com" TargetMode="External"/><Relationship Id="rId26" Type="http://schemas.openxmlformats.org/officeDocument/2006/relationships/diagramQuickStyle" Target="diagrams/quickStyle1.xml"/><Relationship Id="rId39" Type="http://schemas.openxmlformats.org/officeDocument/2006/relationships/hyperlink" Target="https://dx.doi.org/10.33588/fem.263.1278" TargetMode="External"/><Relationship Id="rId21" Type="http://schemas.openxmlformats.org/officeDocument/2006/relationships/hyperlink" Target="https://orcid.ejemplo/1231251204123123" TargetMode="External"/><Relationship Id="rId34" Type="http://schemas.openxmlformats.org/officeDocument/2006/relationships/hyperlink" Target="https://dx.doi.org/10.55767/2451.6007.v36.n1.45313" TargetMode="External"/><Relationship Id="rId42" Type="http://schemas.openxmlformats.org/officeDocument/2006/relationships/hyperlink" Target="https://doi.org/10.1080/2331186X.2024.2378250" TargetMode="External"/><Relationship Id="rId47" Type="http://schemas.openxmlformats.org/officeDocument/2006/relationships/hyperlink" Target="https://doi.org/10.1080/20473869.2023.2204560" TargetMode="External"/><Relationship Id="rId50" Type="http://schemas.openxmlformats.org/officeDocument/2006/relationships/hyperlink" Target="https://doi.org/10.1080/01942638.2024.2404466" TargetMode="External"/><Relationship Id="rId55" Type="http://schemas.openxmlformats.org/officeDocument/2006/relationships/footer" Target="footer1.xml"/><Relationship Id="rId7" Type="http://schemas.openxmlformats.org/officeDocument/2006/relationships/hyperlink" Target="https://orcid.org/0000-0002-6106-8936" TargetMode="External"/><Relationship Id="rId2" Type="http://schemas.openxmlformats.org/officeDocument/2006/relationships/styles" Target="styles.xml"/><Relationship Id="rId16" Type="http://schemas.openxmlformats.org/officeDocument/2006/relationships/hyperlink" Target="mailto:tgarciaso@ucvvirtual.edu.pe" TargetMode="External"/><Relationship Id="rId29" Type="http://schemas.openxmlformats.org/officeDocument/2006/relationships/hyperlink" Target="https://doi.org/10.23913/ride.v14i28.2002" TargetMode="External"/><Relationship Id="rId11" Type="http://schemas.openxmlformats.org/officeDocument/2006/relationships/hyperlink" Target="https://orcid.org/0000-0001-6653-2454" TargetMode="External"/><Relationship Id="rId24" Type="http://schemas.openxmlformats.org/officeDocument/2006/relationships/diagramData" Target="diagrams/data1.xml"/><Relationship Id="rId32" Type="http://schemas.openxmlformats.org/officeDocument/2006/relationships/hyperlink" Target="https://doi.org/10.25176/rfmh.v21i3.3775" TargetMode="External"/><Relationship Id="rId37" Type="http://schemas.openxmlformats.org/officeDocument/2006/relationships/hyperlink" Target="https://doi.org/10.33595/2226-1478.12.3.559" TargetMode="External"/><Relationship Id="rId40" Type="http://schemas.openxmlformats.org/officeDocument/2006/relationships/hyperlink" Target="https://doi.org/10.17159/sadj.v79i06.18868" TargetMode="External"/><Relationship Id="rId45" Type="http://schemas.openxmlformats.org/officeDocument/2006/relationships/hyperlink" Target="https://dx.doi.org/10.4067/s0717-95022024000300741" TargetMode="External"/><Relationship Id="rId53" Type="http://schemas.openxmlformats.org/officeDocument/2006/relationships/hyperlink" Target="https://doi.org/10.20853/38-3-637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orcid.org/0000-0001-6653-2454" TargetMode="External"/><Relationship Id="rId4" Type="http://schemas.openxmlformats.org/officeDocument/2006/relationships/webSettings" Target="webSettings.xml"/><Relationship Id="rId9" Type="http://schemas.openxmlformats.org/officeDocument/2006/relationships/hyperlink" Target="https://orcid.org/0000-0002-1626-8090" TargetMode="External"/><Relationship Id="rId14" Type="http://schemas.openxmlformats.org/officeDocument/2006/relationships/hyperlink" Target="mailto:corredelautorejemplo@ejemplo.com" TargetMode="External"/><Relationship Id="rId22" Type="http://schemas.openxmlformats.org/officeDocument/2006/relationships/hyperlink" Target="mailto:corredelautorejemplo@ejemplo.com" TargetMode="External"/><Relationship Id="rId27" Type="http://schemas.openxmlformats.org/officeDocument/2006/relationships/diagramColors" Target="diagrams/colors1.xml"/><Relationship Id="rId30" Type="http://schemas.openxmlformats.org/officeDocument/2006/relationships/hyperlink" Target="https://dx.doi.org/10.21703/0718-5162.v21.n45.2022.024" TargetMode="External"/><Relationship Id="rId35" Type="http://schemas.openxmlformats.org/officeDocument/2006/relationships/hyperlink" Target="https://dx.doi.org/10.55767/2451.6007.v36.n1.45310" TargetMode="External"/><Relationship Id="rId43" Type="http://schemas.openxmlformats.org/officeDocument/2006/relationships/hyperlink" Target="https://doi.org/10.1080/17408989.2025.2489165" TargetMode="External"/><Relationship Id="rId48" Type="http://schemas.openxmlformats.org/officeDocument/2006/relationships/hyperlink" Target="https://dx.doi.org/10.4067/s0718-50062024000500139" TargetMode="External"/><Relationship Id="rId56" Type="http://schemas.openxmlformats.org/officeDocument/2006/relationships/footer" Target="footer2.xml"/><Relationship Id="rId8" Type="http://schemas.openxmlformats.org/officeDocument/2006/relationships/hyperlink" Target="mailto:tgarciaso@ucvvirtual.edu.pe" TargetMode="External"/><Relationship Id="rId51" Type="http://schemas.openxmlformats.org/officeDocument/2006/relationships/hyperlink" Target="https://doi.org/10.19083/ridu.2024.1884" TargetMode="External"/><Relationship Id="rId3" Type="http://schemas.openxmlformats.org/officeDocument/2006/relationships/settings" Target="settings.xml"/><Relationship Id="rId12" Type="http://schemas.openxmlformats.org/officeDocument/2006/relationships/hyperlink" Target="mailto:ccarazasdu20@ucvvirtual.edu.pe" TargetMode="External"/><Relationship Id="rId17" Type="http://schemas.openxmlformats.org/officeDocument/2006/relationships/hyperlink" Target="https://orcid.org/0000-0002-1626-8090" TargetMode="External"/><Relationship Id="rId25" Type="http://schemas.openxmlformats.org/officeDocument/2006/relationships/diagramLayout" Target="diagrams/layout1.xml"/><Relationship Id="rId33" Type="http://schemas.openxmlformats.org/officeDocument/2006/relationships/hyperlink" Target="https://dx.doi.org/10.4151/07189729-vol.61-iss.1-art.1237" TargetMode="External"/><Relationship Id="rId38" Type="http://schemas.openxmlformats.org/officeDocument/2006/relationships/hyperlink" Target="https://dx.doi.org/10.54343/reiec.v19i1.401" TargetMode="External"/><Relationship Id="rId46" Type="http://schemas.openxmlformats.org/officeDocument/2006/relationships/hyperlink" Target="https://doi.org/10.1080/23311886.2021.1950306" TargetMode="External"/><Relationship Id="rId20" Type="http://schemas.openxmlformats.org/officeDocument/2006/relationships/hyperlink" Target="mailto:ccarazasdu20@ucvvirtual.edu.pe" TargetMode="External"/><Relationship Id="rId41" Type="http://schemas.openxmlformats.org/officeDocument/2006/relationships/hyperlink" Target="https://doi.org/10.1080/2331186X.2025.2454122" TargetMode="External"/><Relationship Id="rId54" Type="http://schemas.openxmlformats.org/officeDocument/2006/relationships/hyperlink" Target="https://doi.org/10.36097/rsan.v1i58.2739"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orcid.org/0000-0002-6106-8936" TargetMode="External"/><Relationship Id="rId23" Type="http://schemas.openxmlformats.org/officeDocument/2006/relationships/image" Target="media/image1.png"/><Relationship Id="rId28" Type="http://schemas.microsoft.com/office/2007/relationships/diagramDrawing" Target="diagrams/drawing1.xml"/><Relationship Id="rId36" Type="http://schemas.openxmlformats.org/officeDocument/2006/relationships/hyperlink" Target="https://dx.doi.org/10.22458/ie.v26i41.5034" TargetMode="External"/><Relationship Id="rId49" Type="http://schemas.openxmlformats.org/officeDocument/2006/relationships/hyperlink" Target="https://dx.doi.org/10.54343/reiec.v19i2.381" TargetMode="External"/><Relationship Id="rId57" Type="http://schemas.openxmlformats.org/officeDocument/2006/relationships/fontTable" Target="fontTable.xml"/><Relationship Id="rId10" Type="http://schemas.openxmlformats.org/officeDocument/2006/relationships/hyperlink" Target="mailto:cesarsulca_lara@hotmail.com" TargetMode="External"/><Relationship Id="rId31" Type="http://schemas.openxmlformats.org/officeDocument/2006/relationships/hyperlink" Target="https://dx.doi.org/10.7764/pel.61.3.2024.6" TargetMode="External"/><Relationship Id="rId44" Type="http://schemas.openxmlformats.org/officeDocument/2006/relationships/hyperlink" Target="https://doi.org/10.1080/1331677X.2021.1974306" TargetMode="External"/><Relationship Id="rId52" Type="http://schemas.openxmlformats.org/officeDocument/2006/relationships/hyperlink" Target="https://doi.org/10.1080/1554480X.2024.23797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Desktop\TRABAJOS%20CON%20OTR@S\ART&#205;CULOS%20INVECOM\varios\PLANTILLA%20R.INVECOM%20VOL%206%20NUM%201.dotm"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1F621CE-3889-469F-9F75-302EC2048410}" type="doc">
      <dgm:prSet loTypeId="urn:microsoft.com/office/officeart/2005/8/layout/bProcess3" loCatId="process" qsTypeId="urn:microsoft.com/office/officeart/2005/8/quickstyle/simple1" qsCatId="simple" csTypeId="urn:microsoft.com/office/officeart/2005/8/colors/accent0_1" csCatId="mainScheme" phldr="1"/>
      <dgm:spPr/>
      <dgm:t>
        <a:bodyPr/>
        <a:lstStyle/>
        <a:p>
          <a:endParaRPr lang="es-PE"/>
        </a:p>
      </dgm:t>
    </dgm:pt>
    <dgm:pt modelId="{8C1835A1-555F-433F-B903-A3A30306FDE6}">
      <dgm:prSet phldrT="[Texto]" custT="1"/>
      <dgm:spPr>
        <a:xfrm>
          <a:off x="851099" y="3831"/>
          <a:ext cx="1645695" cy="987417"/>
        </a:xfrm>
        <a:prstGeom prst="rect">
          <a:avLst/>
        </a:prstGeom>
        <a:solidFill>
          <a:sysClr val="window" lastClr="FFFFFF">
            <a:hueOff val="0"/>
            <a:satOff val="0"/>
            <a:lumOff val="0"/>
            <a:alphaOff val="0"/>
          </a:sysClr>
        </a:solidFill>
        <a:ln w="9525" cap="flat" cmpd="sng" algn="ctr">
          <a:solidFill>
            <a:scrgbClr r="0" g="0" b="0"/>
          </a:solidFill>
          <a:prstDash val="solid"/>
        </a:ln>
        <a:effectLst/>
      </dgm:spPr>
      <dgm:t>
        <a:bodyPr/>
        <a:lstStyle/>
        <a:p>
          <a:pPr algn="just">
            <a:buNone/>
          </a:pPr>
          <a:r>
            <a:rPr lang="es-ES" sz="10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Registros identificados de Scopus: 1421</a:t>
          </a:r>
        </a:p>
        <a:p>
          <a:pPr algn="just">
            <a:buNone/>
          </a:pPr>
          <a:r>
            <a:rPr lang="es-ES" sz="10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Scielo: 192</a:t>
          </a:r>
        </a:p>
        <a:p>
          <a:pPr algn="just">
            <a:buNone/>
          </a:pPr>
          <a:r>
            <a:rPr lang="es-ES" sz="10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(n=1613)</a:t>
          </a:r>
          <a:endParaRPr lang="es-PE" sz="10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gm:t>
    </dgm:pt>
    <dgm:pt modelId="{0F04F34F-2DA4-46C4-9B4D-222F7065E1B0}" type="parTrans" cxnId="{078E029F-6B1B-4EB4-9DF1-E8CB707AF5A6}">
      <dgm:prSet/>
      <dgm:spPr/>
      <dgm:t>
        <a:bodyPr/>
        <a:lstStyle/>
        <a:p>
          <a:pPr algn="just"/>
          <a:endParaRPr lang="es-PE" sz="1000">
            <a:solidFill>
              <a:schemeClr val="tx1"/>
            </a:solidFill>
            <a:latin typeface="Times New Roman" panose="02020603050405020304" pitchFamily="18" charset="0"/>
            <a:cs typeface="Times New Roman" panose="02020603050405020304" pitchFamily="18" charset="0"/>
          </a:endParaRPr>
        </a:p>
      </dgm:t>
    </dgm:pt>
    <dgm:pt modelId="{C1380013-3EC3-4A0F-B8D5-8EB732A29EF1}" type="sibTrans" cxnId="{078E029F-6B1B-4EB4-9DF1-E8CB707AF5A6}">
      <dgm:prSet custT="1"/>
      <dgm:spPr>
        <a:xfrm>
          <a:off x="2494995" y="451819"/>
          <a:ext cx="347909" cy="91440"/>
        </a:xfrm>
        <a:custGeom>
          <a:avLst/>
          <a:gdLst/>
          <a:ahLst/>
          <a:cxnLst/>
          <a:rect l="0" t="0" r="0" b="0"/>
          <a:pathLst>
            <a:path>
              <a:moveTo>
                <a:pt x="0" y="45720"/>
              </a:moveTo>
              <a:lnTo>
                <a:pt x="470752" y="45720"/>
              </a:lnTo>
            </a:path>
          </a:pathLst>
        </a:custGeom>
        <a:noFill/>
        <a:ln w="9525" cap="flat" cmpd="sng" algn="ctr">
          <a:solidFill>
            <a:sysClr val="windowText" lastClr="000000">
              <a:hueOff val="0"/>
              <a:satOff val="0"/>
              <a:lumOff val="0"/>
              <a:alphaOff val="0"/>
            </a:sysClr>
          </a:solidFill>
          <a:prstDash val="solid"/>
          <a:tailEnd type="arrow"/>
        </a:ln>
        <a:effectLst/>
      </dgm:spPr>
      <dgm:t>
        <a:bodyPr/>
        <a:lstStyle/>
        <a:p>
          <a:pPr algn="just">
            <a:buNone/>
          </a:pPr>
          <a:endParaRPr lang="es-PE" sz="1000">
            <a:solidFill>
              <a:sysClr val="windowText" lastClr="000000"/>
            </a:solidFill>
            <a:latin typeface="Times New Roman" panose="02020603050405020304" pitchFamily="18" charset="0"/>
            <a:ea typeface="+mn-ea"/>
            <a:cs typeface="Times New Roman" panose="02020603050405020304" pitchFamily="18" charset="0"/>
          </a:endParaRPr>
        </a:p>
      </dgm:t>
    </dgm:pt>
    <dgm:pt modelId="{9BD6DB6B-09D5-4DED-81BF-F7A2A4A20F96}">
      <dgm:prSet phldrT="[Texto]" custT="1"/>
      <dgm:spPr>
        <a:xfrm>
          <a:off x="2875304" y="3831"/>
          <a:ext cx="1645695" cy="987417"/>
        </a:xfrm>
        <a:prstGeom prst="rect">
          <a:avLst/>
        </a:prstGeom>
        <a:solidFill>
          <a:sysClr val="window" lastClr="FFFFFF">
            <a:hueOff val="0"/>
            <a:satOff val="0"/>
            <a:lumOff val="0"/>
            <a:alphaOff val="0"/>
          </a:sysClr>
        </a:solidFill>
        <a:ln w="9525" cap="flat" cmpd="sng" algn="ctr">
          <a:solidFill>
            <a:scrgbClr r="0" g="0" b="0"/>
          </a:solidFill>
          <a:prstDash val="solid"/>
        </a:ln>
        <a:effectLst/>
      </dgm:spPr>
      <dgm:t>
        <a:bodyPr/>
        <a:lstStyle/>
        <a:p>
          <a:pPr algn="just">
            <a:buNone/>
          </a:pPr>
          <a:r>
            <a:rPr lang="es-ES"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Artículos eliminados antes del cribado</a:t>
          </a:r>
        </a:p>
        <a:p>
          <a:pPr algn="just">
            <a:buNone/>
          </a:pPr>
          <a:r>
            <a:rPr lang="es-ES"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(n=1333)</a:t>
          </a:r>
          <a:endParaRPr lang="es-PE"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0F67C77A-0A59-43FE-987E-C968DA2BFD8E}" type="parTrans" cxnId="{D4529EE4-AB71-4A2B-B1F9-1203080BCE9D}">
      <dgm:prSet/>
      <dgm:spPr/>
      <dgm:t>
        <a:bodyPr/>
        <a:lstStyle/>
        <a:p>
          <a:pPr algn="just"/>
          <a:endParaRPr lang="es-PE" sz="1000">
            <a:solidFill>
              <a:schemeClr val="tx1"/>
            </a:solidFill>
            <a:latin typeface="Times New Roman" panose="02020603050405020304" pitchFamily="18" charset="0"/>
            <a:cs typeface="Times New Roman" panose="02020603050405020304" pitchFamily="18" charset="0"/>
          </a:endParaRPr>
        </a:p>
      </dgm:t>
    </dgm:pt>
    <dgm:pt modelId="{CF2564C4-F404-4CE7-9FAD-9EA59FE9C044}" type="sibTrans" cxnId="{D4529EE4-AB71-4A2B-B1F9-1203080BCE9D}">
      <dgm:prSet custT="1"/>
      <dgm:spPr>
        <a:xfrm>
          <a:off x="1673947" y="989448"/>
          <a:ext cx="2024205" cy="347909"/>
        </a:xfrm>
        <a:custGeom>
          <a:avLst/>
          <a:gdLst/>
          <a:ahLst/>
          <a:cxnLst/>
          <a:rect l="0" t="0" r="0" b="0"/>
          <a:pathLst>
            <a:path>
              <a:moveTo>
                <a:pt x="2681144" y="0"/>
              </a:moveTo>
              <a:lnTo>
                <a:pt x="2681144" y="252476"/>
              </a:lnTo>
              <a:lnTo>
                <a:pt x="0" y="252476"/>
              </a:lnTo>
              <a:lnTo>
                <a:pt x="0" y="470752"/>
              </a:lnTo>
            </a:path>
          </a:pathLst>
        </a:custGeom>
        <a:noFill/>
        <a:ln w="9525" cap="flat" cmpd="sng" algn="ctr">
          <a:solidFill>
            <a:sysClr val="windowText" lastClr="000000">
              <a:hueOff val="0"/>
              <a:satOff val="0"/>
              <a:lumOff val="0"/>
              <a:alphaOff val="0"/>
            </a:sysClr>
          </a:solidFill>
          <a:prstDash val="solid"/>
          <a:tailEnd type="arrow"/>
        </a:ln>
        <a:effectLst/>
      </dgm:spPr>
      <dgm:t>
        <a:bodyPr/>
        <a:lstStyle/>
        <a:p>
          <a:pPr algn="just">
            <a:buNone/>
          </a:pPr>
          <a:endParaRPr lang="es-PE" sz="1000">
            <a:solidFill>
              <a:sysClr val="windowText" lastClr="000000"/>
            </a:solidFill>
            <a:latin typeface="Times New Roman" panose="02020603050405020304" pitchFamily="18" charset="0"/>
            <a:ea typeface="+mn-ea"/>
            <a:cs typeface="Times New Roman" panose="02020603050405020304" pitchFamily="18" charset="0"/>
          </a:endParaRPr>
        </a:p>
      </dgm:t>
    </dgm:pt>
    <dgm:pt modelId="{328EE0F1-EE2A-4446-AA98-6D82CA296CD7}">
      <dgm:prSet phldrT="[Texto]" custT="1"/>
      <dgm:spPr>
        <a:xfrm>
          <a:off x="851099" y="1369758"/>
          <a:ext cx="1645695" cy="987417"/>
        </a:xfrm>
        <a:prstGeom prst="rect">
          <a:avLst/>
        </a:prstGeom>
        <a:solidFill>
          <a:sysClr val="window" lastClr="FFFFFF">
            <a:hueOff val="0"/>
            <a:satOff val="0"/>
            <a:lumOff val="0"/>
            <a:alphaOff val="0"/>
          </a:sysClr>
        </a:solidFill>
        <a:ln w="9525" cap="flat" cmpd="sng" algn="ctr">
          <a:solidFill>
            <a:scrgbClr r="0" g="0" b="0"/>
          </a:solidFill>
          <a:prstDash val="solid"/>
        </a:ln>
        <a:effectLst/>
      </dgm:spPr>
      <dgm:t>
        <a:bodyPr/>
        <a:lstStyle/>
        <a:p>
          <a:pPr algn="just">
            <a:buNone/>
          </a:pPr>
          <a:r>
            <a:rPr lang="es-ES"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Número de artículos eliminados por citas duplicadas (n=215)</a:t>
          </a:r>
          <a:endParaRPr lang="es-PE"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C1E83631-1750-4BA6-ACF4-4664ADD97461}" type="parTrans" cxnId="{694E439D-EDDF-4BC7-B85D-4C547AA5BF2B}">
      <dgm:prSet/>
      <dgm:spPr/>
      <dgm:t>
        <a:bodyPr/>
        <a:lstStyle/>
        <a:p>
          <a:pPr algn="just"/>
          <a:endParaRPr lang="es-PE" sz="1000">
            <a:solidFill>
              <a:schemeClr val="tx1"/>
            </a:solidFill>
            <a:latin typeface="Times New Roman" panose="02020603050405020304" pitchFamily="18" charset="0"/>
            <a:cs typeface="Times New Roman" panose="02020603050405020304" pitchFamily="18" charset="0"/>
          </a:endParaRPr>
        </a:p>
      </dgm:t>
    </dgm:pt>
    <dgm:pt modelId="{312DF197-20E0-4C66-AA53-D92E4C911C3F}" type="sibTrans" cxnId="{694E439D-EDDF-4BC7-B85D-4C547AA5BF2B}">
      <dgm:prSet custT="1"/>
      <dgm:spPr>
        <a:xfrm>
          <a:off x="2494995" y="1817746"/>
          <a:ext cx="347909" cy="91440"/>
        </a:xfrm>
        <a:custGeom>
          <a:avLst/>
          <a:gdLst/>
          <a:ahLst/>
          <a:cxnLst/>
          <a:rect l="0" t="0" r="0" b="0"/>
          <a:pathLst>
            <a:path>
              <a:moveTo>
                <a:pt x="0" y="45720"/>
              </a:moveTo>
              <a:lnTo>
                <a:pt x="470752" y="45720"/>
              </a:lnTo>
            </a:path>
          </a:pathLst>
        </a:custGeom>
        <a:noFill/>
        <a:ln w="9525" cap="flat" cmpd="sng" algn="ctr">
          <a:solidFill>
            <a:sysClr val="windowText" lastClr="000000">
              <a:hueOff val="0"/>
              <a:satOff val="0"/>
              <a:lumOff val="0"/>
              <a:alphaOff val="0"/>
            </a:sysClr>
          </a:solidFill>
          <a:prstDash val="solid"/>
          <a:tailEnd type="arrow"/>
        </a:ln>
        <a:effectLst/>
      </dgm:spPr>
      <dgm:t>
        <a:bodyPr/>
        <a:lstStyle/>
        <a:p>
          <a:pPr algn="just">
            <a:buNone/>
          </a:pPr>
          <a:endParaRPr lang="es-PE" sz="1000">
            <a:solidFill>
              <a:sysClr val="windowText" lastClr="000000"/>
            </a:solidFill>
            <a:latin typeface="Times New Roman" panose="02020603050405020304" pitchFamily="18" charset="0"/>
            <a:ea typeface="+mn-ea"/>
            <a:cs typeface="Times New Roman" panose="02020603050405020304" pitchFamily="18" charset="0"/>
          </a:endParaRPr>
        </a:p>
      </dgm:t>
    </dgm:pt>
    <dgm:pt modelId="{A2195BD0-F1D6-45E1-9026-F2FE1404E4B4}">
      <dgm:prSet phldrT="[Texto]" custT="1"/>
      <dgm:spPr>
        <a:xfrm>
          <a:off x="857567" y="2894314"/>
          <a:ext cx="1645695" cy="987417"/>
        </a:xfrm>
        <a:prstGeom prst="rect">
          <a:avLst/>
        </a:prstGeom>
        <a:solidFill>
          <a:sysClr val="window" lastClr="FFFFFF">
            <a:hueOff val="0"/>
            <a:satOff val="0"/>
            <a:lumOff val="0"/>
            <a:alphaOff val="0"/>
          </a:sysClr>
        </a:solidFill>
        <a:ln w="9525" cap="flat" cmpd="sng" algn="ctr">
          <a:solidFill>
            <a:scrgbClr r="0" g="0" b="0"/>
          </a:solidFill>
          <a:prstDash val="solid"/>
        </a:ln>
        <a:effectLst/>
      </dgm:spPr>
      <dgm:t>
        <a:bodyPr/>
        <a:lstStyle/>
        <a:p>
          <a:pPr algn="just">
            <a:buNone/>
          </a:pPr>
          <a:r>
            <a:rPr lang="es-ES"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Excluidos después de revisar por resúmenes  (n=39)</a:t>
          </a:r>
          <a:endParaRPr lang="es-PE"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F4BD99DE-C7FD-4E15-9031-F24CC01E82AC}" type="parTrans" cxnId="{A72BC87D-FDB4-4052-B151-0E8C7ECA5F5D}">
      <dgm:prSet/>
      <dgm:spPr/>
      <dgm:t>
        <a:bodyPr/>
        <a:lstStyle/>
        <a:p>
          <a:pPr algn="just"/>
          <a:endParaRPr lang="es-PE" sz="1000">
            <a:solidFill>
              <a:schemeClr val="tx1"/>
            </a:solidFill>
            <a:latin typeface="Times New Roman" panose="02020603050405020304" pitchFamily="18" charset="0"/>
            <a:cs typeface="Times New Roman" panose="02020603050405020304" pitchFamily="18" charset="0"/>
          </a:endParaRPr>
        </a:p>
      </dgm:t>
    </dgm:pt>
    <dgm:pt modelId="{9EB50F15-5A8B-4616-856C-CA370F76B4E2}" type="sibTrans" cxnId="{A72BC87D-FDB4-4052-B151-0E8C7ECA5F5D}">
      <dgm:prSet custT="1"/>
      <dgm:spPr>
        <a:xfrm>
          <a:off x="2501462" y="3342302"/>
          <a:ext cx="341442" cy="91440"/>
        </a:xfrm>
        <a:custGeom>
          <a:avLst/>
          <a:gdLst/>
          <a:ahLst/>
          <a:cxnLst/>
          <a:rect l="0" t="0" r="0" b="0"/>
          <a:pathLst>
            <a:path>
              <a:moveTo>
                <a:pt x="0" y="45720"/>
              </a:moveTo>
              <a:lnTo>
                <a:pt x="470752" y="45720"/>
              </a:lnTo>
            </a:path>
          </a:pathLst>
        </a:custGeom>
        <a:noFill/>
        <a:ln w="9525" cap="flat" cmpd="sng" algn="ctr">
          <a:solidFill>
            <a:sysClr val="windowText" lastClr="000000">
              <a:hueOff val="0"/>
              <a:satOff val="0"/>
              <a:lumOff val="0"/>
              <a:alphaOff val="0"/>
            </a:sysClr>
          </a:solidFill>
          <a:prstDash val="solid"/>
          <a:tailEnd type="arrow"/>
        </a:ln>
        <a:effectLst/>
      </dgm:spPr>
      <dgm:t>
        <a:bodyPr/>
        <a:lstStyle/>
        <a:p>
          <a:pPr algn="just">
            <a:buNone/>
          </a:pPr>
          <a:endParaRPr lang="es-PE" sz="1000">
            <a:solidFill>
              <a:sysClr val="windowText" lastClr="000000"/>
            </a:solidFill>
            <a:latin typeface="Times New Roman" panose="02020603050405020304" pitchFamily="18" charset="0"/>
            <a:ea typeface="+mn-ea"/>
            <a:cs typeface="Times New Roman" panose="02020603050405020304" pitchFamily="18" charset="0"/>
          </a:endParaRPr>
        </a:p>
      </dgm:t>
    </dgm:pt>
    <dgm:pt modelId="{3A4C1F5D-EFD6-48A3-B220-8C0BEAC00893}">
      <dgm:prSet phldrT="[Texto]" custT="1"/>
      <dgm:spPr>
        <a:xfrm>
          <a:off x="2875304" y="2920214"/>
          <a:ext cx="1645695" cy="987417"/>
        </a:xfrm>
        <a:prstGeom prst="rect">
          <a:avLst/>
        </a:prstGeom>
        <a:solidFill>
          <a:sysClr val="window" lastClr="FFFFFF">
            <a:hueOff val="0"/>
            <a:satOff val="0"/>
            <a:lumOff val="0"/>
            <a:alphaOff val="0"/>
          </a:sysClr>
        </a:solidFill>
        <a:ln w="9525" cap="flat" cmpd="sng" algn="ctr">
          <a:solidFill>
            <a:scrgbClr r="0" g="0" b="0"/>
          </a:solidFill>
          <a:prstDash val="solid"/>
        </a:ln>
        <a:effectLst/>
      </dgm:spPr>
      <dgm:t>
        <a:bodyPr/>
        <a:lstStyle/>
        <a:p>
          <a:pPr algn="just">
            <a:buNone/>
          </a:pPr>
          <a:r>
            <a:rPr lang="es-ES" sz="1000">
              <a:solidFill>
                <a:sysClr val="windowText" lastClr="000000">
                  <a:hueOff val="0"/>
                  <a:satOff val="0"/>
                  <a:lumOff val="0"/>
                  <a:alphaOff val="0"/>
                </a:sysClr>
              </a:solidFill>
              <a:latin typeface="Times New Roman" panose="02020603050405020304" pitchFamily="18" charset="0"/>
              <a:ea typeface="Times New Roman Uni" panose="02020603050405020304" pitchFamily="18" charset="-128"/>
              <a:cs typeface="Times New Roman" panose="02020603050405020304" pitchFamily="18" charset="0"/>
            </a:rPr>
            <a:t>Algunos artículos excluidos después de revisar (n=6)</a:t>
          </a:r>
          <a:endParaRPr lang="es-PE" sz="1000">
            <a:solidFill>
              <a:sysClr val="windowText" lastClr="000000">
                <a:hueOff val="0"/>
                <a:satOff val="0"/>
                <a:lumOff val="0"/>
                <a:alphaOff val="0"/>
              </a:sysClr>
            </a:solidFill>
            <a:latin typeface="Times New Roman" panose="02020603050405020304" pitchFamily="18" charset="0"/>
            <a:ea typeface="Times New Roman Uni" panose="02020603050405020304" pitchFamily="18" charset="-128"/>
            <a:cs typeface="Times New Roman" panose="02020603050405020304" pitchFamily="18" charset="0"/>
          </a:endParaRPr>
        </a:p>
      </dgm:t>
    </dgm:pt>
    <dgm:pt modelId="{90021848-4956-44C8-B2A4-732249673969}" type="parTrans" cxnId="{04B60429-1FB3-4A88-8523-57EB98A39876}">
      <dgm:prSet/>
      <dgm:spPr/>
      <dgm:t>
        <a:bodyPr/>
        <a:lstStyle/>
        <a:p>
          <a:pPr algn="just"/>
          <a:endParaRPr lang="es-PE" sz="1000">
            <a:latin typeface="Times New Roman" panose="02020603050405020304" pitchFamily="18" charset="0"/>
            <a:cs typeface="Times New Roman" panose="02020603050405020304" pitchFamily="18" charset="0"/>
          </a:endParaRPr>
        </a:p>
      </dgm:t>
    </dgm:pt>
    <dgm:pt modelId="{000C69B2-E6FD-4C9D-8A16-C0DFD8A2B994}" type="sibTrans" cxnId="{04B60429-1FB3-4A88-8523-57EB98A39876}">
      <dgm:prSet custT="1"/>
      <dgm:spPr>
        <a:xfrm>
          <a:off x="2645170" y="3905831"/>
          <a:ext cx="1052981" cy="167212"/>
        </a:xfrm>
        <a:custGeom>
          <a:avLst/>
          <a:gdLst/>
          <a:ahLst/>
          <a:cxnLst/>
          <a:rect l="0" t="0" r="0" b="0"/>
          <a:pathLst>
            <a:path>
              <a:moveTo>
                <a:pt x="1059688" y="0"/>
              </a:moveTo>
              <a:lnTo>
                <a:pt x="1059688" y="101123"/>
              </a:lnTo>
              <a:lnTo>
                <a:pt x="0" y="101123"/>
              </a:lnTo>
              <a:lnTo>
                <a:pt x="0" y="168047"/>
              </a:lnTo>
            </a:path>
          </a:pathLst>
        </a:custGeom>
        <a:noFill/>
        <a:ln w="9525" cap="flat" cmpd="sng" algn="ctr">
          <a:solidFill>
            <a:sysClr val="windowText" lastClr="000000">
              <a:hueOff val="0"/>
              <a:satOff val="0"/>
              <a:lumOff val="0"/>
              <a:alphaOff val="0"/>
            </a:sysClr>
          </a:solidFill>
          <a:prstDash val="solid"/>
          <a:tailEnd type="arrow"/>
        </a:ln>
        <a:effectLst/>
      </dgm:spPr>
      <dgm:t>
        <a:bodyPr/>
        <a:lstStyle/>
        <a:p>
          <a:pPr algn="just">
            <a:buNone/>
          </a:pPr>
          <a:endParaRPr lang="es-PE" sz="1000">
            <a:solidFill>
              <a:sysClr val="windowText" lastClr="000000"/>
            </a:solidFill>
            <a:latin typeface="Times New Roman" panose="02020603050405020304" pitchFamily="18" charset="0"/>
            <a:ea typeface="+mn-ea"/>
            <a:cs typeface="Times New Roman" panose="02020603050405020304" pitchFamily="18" charset="0"/>
          </a:endParaRPr>
        </a:p>
      </dgm:t>
    </dgm:pt>
    <dgm:pt modelId="{361AFF4E-1E4A-4620-ADD0-4FF6CB9A3A01}">
      <dgm:prSet phldrT="[Texto]" custT="1"/>
      <dgm:spPr>
        <a:xfrm>
          <a:off x="1822323" y="4105443"/>
          <a:ext cx="1645695" cy="987417"/>
        </a:xfrm>
        <a:prstGeom prst="rect">
          <a:avLst/>
        </a:prstGeom>
        <a:solidFill>
          <a:sysClr val="window" lastClr="FFFFFF">
            <a:hueOff val="0"/>
            <a:satOff val="0"/>
            <a:lumOff val="0"/>
            <a:alphaOff val="0"/>
          </a:sysClr>
        </a:solidFill>
        <a:ln w="9525" cap="flat" cmpd="sng" algn="ctr">
          <a:solidFill>
            <a:scrgbClr r="0" g="0" b="0"/>
          </a:solidFill>
          <a:prstDash val="solid"/>
        </a:ln>
        <a:effectLst/>
      </dgm:spPr>
      <dgm:t>
        <a:bodyPr/>
        <a:lstStyle/>
        <a:p>
          <a:pPr algn="just">
            <a:buNone/>
          </a:pPr>
          <a:r>
            <a:rPr lang="es-ES" sz="1000">
              <a:solidFill>
                <a:sysClr val="windowText" lastClr="000000">
                  <a:hueOff val="0"/>
                  <a:satOff val="0"/>
                  <a:lumOff val="0"/>
                  <a:alphaOff val="0"/>
                </a:sysClr>
              </a:solidFill>
              <a:latin typeface="Times New Roman" panose="02020603050405020304" pitchFamily="18" charset="0"/>
              <a:ea typeface="Times New Roman Uni" panose="02020603050405020304" pitchFamily="18" charset="-128"/>
              <a:cs typeface="Times New Roman" panose="02020603050405020304" pitchFamily="18" charset="0"/>
            </a:rPr>
            <a:t>Artículos incluidos para analizar (n= 20)</a:t>
          </a:r>
          <a:endParaRPr lang="es-PE" sz="1000">
            <a:solidFill>
              <a:sysClr val="windowText" lastClr="000000">
                <a:hueOff val="0"/>
                <a:satOff val="0"/>
                <a:lumOff val="0"/>
                <a:alphaOff val="0"/>
              </a:sysClr>
            </a:solidFill>
            <a:latin typeface="Times New Roman" panose="02020603050405020304" pitchFamily="18" charset="0"/>
            <a:ea typeface="Times New Roman Uni" panose="02020603050405020304" pitchFamily="18" charset="-128"/>
            <a:cs typeface="Times New Roman" panose="02020603050405020304" pitchFamily="18" charset="0"/>
          </a:endParaRPr>
        </a:p>
      </dgm:t>
    </dgm:pt>
    <dgm:pt modelId="{6F207CDC-CED5-4A2B-BFD9-451DE19726FD}" type="parTrans" cxnId="{C087DE66-340E-4A66-A59F-C12EF5E5D240}">
      <dgm:prSet/>
      <dgm:spPr/>
      <dgm:t>
        <a:bodyPr/>
        <a:lstStyle/>
        <a:p>
          <a:pPr algn="just"/>
          <a:endParaRPr lang="es-PE" sz="1000">
            <a:latin typeface="Times New Roman" panose="02020603050405020304" pitchFamily="18" charset="0"/>
            <a:cs typeface="Times New Roman" panose="02020603050405020304" pitchFamily="18" charset="0"/>
          </a:endParaRPr>
        </a:p>
      </dgm:t>
    </dgm:pt>
    <dgm:pt modelId="{B6C4BCD8-BEA4-4C7D-865B-738C4F9BFD4D}" type="sibTrans" cxnId="{C087DE66-340E-4A66-A59F-C12EF5E5D240}">
      <dgm:prSet/>
      <dgm:spPr/>
      <dgm:t>
        <a:bodyPr/>
        <a:lstStyle/>
        <a:p>
          <a:pPr algn="just"/>
          <a:endParaRPr lang="es-PE" sz="1000">
            <a:latin typeface="Times New Roman" panose="02020603050405020304" pitchFamily="18" charset="0"/>
            <a:cs typeface="Times New Roman" panose="02020603050405020304" pitchFamily="18" charset="0"/>
          </a:endParaRPr>
        </a:p>
      </dgm:t>
    </dgm:pt>
    <dgm:pt modelId="{8D268B6F-FF32-4455-8F83-5AA3F5E87B9D}">
      <dgm:prSet phldrT="[Texto]" custT="1"/>
      <dgm:spPr>
        <a:xfrm>
          <a:off x="2875304" y="1369758"/>
          <a:ext cx="1645695" cy="987417"/>
        </a:xfrm>
        <a:prstGeom prst="rect">
          <a:avLst/>
        </a:prstGeom>
        <a:solidFill>
          <a:sysClr val="window" lastClr="FFFFFF">
            <a:hueOff val="0"/>
            <a:satOff val="0"/>
            <a:lumOff val="0"/>
            <a:alphaOff val="0"/>
          </a:sysClr>
        </a:solidFill>
        <a:ln w="9525" cap="flat" cmpd="sng" algn="ctr">
          <a:solidFill>
            <a:scrgbClr r="0" g="0" b="0"/>
          </a:solidFill>
          <a:prstDash val="solid"/>
        </a:ln>
        <a:effectLst/>
      </dgm:spPr>
      <dgm:t>
        <a:bodyPr/>
        <a:lstStyle/>
        <a:p>
          <a:pPr algn="just">
            <a:buNone/>
          </a:pPr>
          <a:r>
            <a:rPr lang="es-ES"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Registros cribados (n=65)</a:t>
          </a:r>
          <a:endParaRPr lang="es-PE" sz="10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081016B2-87E4-40BA-8DF1-7FBFFC9C6166}" type="sibTrans" cxnId="{29A8223C-B38D-45D8-ADDF-534B1156D138}">
      <dgm:prSet custT="1"/>
      <dgm:spPr>
        <a:xfrm>
          <a:off x="1680414" y="2355375"/>
          <a:ext cx="2017737" cy="506538"/>
        </a:xfrm>
        <a:custGeom>
          <a:avLst/>
          <a:gdLst/>
          <a:ahLst/>
          <a:cxnLst/>
          <a:rect l="0" t="0" r="0" b="0"/>
          <a:pathLst>
            <a:path>
              <a:moveTo>
                <a:pt x="2681144" y="0"/>
              </a:moveTo>
              <a:lnTo>
                <a:pt x="2681144" y="253428"/>
              </a:lnTo>
              <a:lnTo>
                <a:pt x="0" y="253428"/>
              </a:lnTo>
              <a:lnTo>
                <a:pt x="0" y="472656"/>
              </a:lnTo>
            </a:path>
          </a:pathLst>
        </a:custGeom>
        <a:noFill/>
        <a:ln w="9525" cap="flat" cmpd="sng" algn="ctr">
          <a:solidFill>
            <a:sysClr val="windowText" lastClr="000000">
              <a:hueOff val="0"/>
              <a:satOff val="0"/>
              <a:lumOff val="0"/>
              <a:alphaOff val="0"/>
            </a:sysClr>
          </a:solidFill>
          <a:prstDash val="solid"/>
          <a:tailEnd type="arrow"/>
        </a:ln>
        <a:effectLst/>
      </dgm:spPr>
      <dgm:t>
        <a:bodyPr/>
        <a:lstStyle/>
        <a:p>
          <a:pPr algn="just">
            <a:buNone/>
          </a:pPr>
          <a:endParaRPr lang="es-PE" sz="1000">
            <a:solidFill>
              <a:sysClr val="windowText" lastClr="000000"/>
            </a:solidFill>
            <a:latin typeface="Times New Roman" panose="02020603050405020304" pitchFamily="18" charset="0"/>
            <a:ea typeface="+mn-ea"/>
            <a:cs typeface="Times New Roman" panose="02020603050405020304" pitchFamily="18" charset="0"/>
          </a:endParaRPr>
        </a:p>
      </dgm:t>
    </dgm:pt>
    <dgm:pt modelId="{A7B167F6-542C-4165-8477-8E8AAA464485}" type="parTrans" cxnId="{29A8223C-B38D-45D8-ADDF-534B1156D138}">
      <dgm:prSet/>
      <dgm:spPr/>
      <dgm:t>
        <a:bodyPr/>
        <a:lstStyle/>
        <a:p>
          <a:pPr algn="just"/>
          <a:endParaRPr lang="es-PE" sz="1000">
            <a:solidFill>
              <a:schemeClr val="tx1"/>
            </a:solidFill>
            <a:latin typeface="Times New Roman" panose="02020603050405020304" pitchFamily="18" charset="0"/>
            <a:cs typeface="Times New Roman" panose="02020603050405020304" pitchFamily="18" charset="0"/>
          </a:endParaRPr>
        </a:p>
      </dgm:t>
    </dgm:pt>
    <dgm:pt modelId="{B5013DE0-865F-4F02-AAB6-338079DEE894}" type="pres">
      <dgm:prSet presAssocID="{01F621CE-3889-469F-9F75-302EC2048410}" presName="Name0" presStyleCnt="0">
        <dgm:presLayoutVars>
          <dgm:dir/>
          <dgm:resizeHandles val="exact"/>
        </dgm:presLayoutVars>
      </dgm:prSet>
      <dgm:spPr/>
      <dgm:t>
        <a:bodyPr/>
        <a:lstStyle/>
        <a:p>
          <a:endParaRPr lang="en-US"/>
        </a:p>
      </dgm:t>
    </dgm:pt>
    <dgm:pt modelId="{1389DE50-60E8-4B85-BE1A-DAE44CD8EF7D}" type="pres">
      <dgm:prSet presAssocID="{8C1835A1-555F-433F-B903-A3A30306FDE6}" presName="node" presStyleLbl="node1" presStyleIdx="0" presStyleCnt="7">
        <dgm:presLayoutVars>
          <dgm:bulletEnabled val="1"/>
        </dgm:presLayoutVars>
      </dgm:prSet>
      <dgm:spPr>
        <a:prstGeom prst="rect">
          <a:avLst/>
        </a:prstGeom>
      </dgm:spPr>
      <dgm:t>
        <a:bodyPr/>
        <a:lstStyle/>
        <a:p>
          <a:endParaRPr lang="en-US"/>
        </a:p>
      </dgm:t>
    </dgm:pt>
    <dgm:pt modelId="{2A59011F-0AF5-4D20-95C5-0F3D039FC755}" type="pres">
      <dgm:prSet presAssocID="{C1380013-3EC3-4A0F-B8D5-8EB732A29EF1}" presName="sibTrans" presStyleLbl="sibTrans1D1" presStyleIdx="0" presStyleCnt="6"/>
      <dgm:spPr>
        <a:custGeom>
          <a:avLst/>
          <a:gdLst/>
          <a:ahLst/>
          <a:cxnLst/>
          <a:rect l="0" t="0" r="0" b="0"/>
          <a:pathLst>
            <a:path>
              <a:moveTo>
                <a:pt x="0" y="45720"/>
              </a:moveTo>
              <a:lnTo>
                <a:pt x="470752" y="45720"/>
              </a:lnTo>
            </a:path>
          </a:pathLst>
        </a:custGeom>
      </dgm:spPr>
      <dgm:t>
        <a:bodyPr/>
        <a:lstStyle/>
        <a:p>
          <a:endParaRPr lang="en-US"/>
        </a:p>
      </dgm:t>
    </dgm:pt>
    <dgm:pt modelId="{7C461E44-0698-47FD-BD7E-D70D7C44B4FD}" type="pres">
      <dgm:prSet presAssocID="{C1380013-3EC3-4A0F-B8D5-8EB732A29EF1}" presName="connectorText" presStyleLbl="sibTrans1D1" presStyleIdx="0" presStyleCnt="6"/>
      <dgm:spPr/>
      <dgm:t>
        <a:bodyPr/>
        <a:lstStyle/>
        <a:p>
          <a:endParaRPr lang="en-US"/>
        </a:p>
      </dgm:t>
    </dgm:pt>
    <dgm:pt modelId="{08045D3A-E499-435F-9D1E-F15E4CBC5FB1}" type="pres">
      <dgm:prSet presAssocID="{9BD6DB6B-09D5-4DED-81BF-F7A2A4A20F96}" presName="node" presStyleLbl="node1" presStyleIdx="1" presStyleCnt="7">
        <dgm:presLayoutVars>
          <dgm:bulletEnabled val="1"/>
        </dgm:presLayoutVars>
      </dgm:prSet>
      <dgm:spPr>
        <a:prstGeom prst="rect">
          <a:avLst/>
        </a:prstGeom>
      </dgm:spPr>
      <dgm:t>
        <a:bodyPr/>
        <a:lstStyle/>
        <a:p>
          <a:endParaRPr lang="en-US"/>
        </a:p>
      </dgm:t>
    </dgm:pt>
    <dgm:pt modelId="{E752D84E-6BF5-4CEA-94D7-93AE3320C5D6}" type="pres">
      <dgm:prSet presAssocID="{CF2564C4-F404-4CE7-9FAD-9EA59FE9C044}" presName="sibTrans" presStyleLbl="sibTrans1D1" presStyleIdx="1" presStyleCnt="6"/>
      <dgm:spPr>
        <a:custGeom>
          <a:avLst/>
          <a:gdLst/>
          <a:ahLst/>
          <a:cxnLst/>
          <a:rect l="0" t="0" r="0" b="0"/>
          <a:pathLst>
            <a:path>
              <a:moveTo>
                <a:pt x="2681144" y="0"/>
              </a:moveTo>
              <a:lnTo>
                <a:pt x="2681144" y="252476"/>
              </a:lnTo>
              <a:lnTo>
                <a:pt x="0" y="252476"/>
              </a:lnTo>
              <a:lnTo>
                <a:pt x="0" y="470752"/>
              </a:lnTo>
            </a:path>
          </a:pathLst>
        </a:custGeom>
      </dgm:spPr>
      <dgm:t>
        <a:bodyPr/>
        <a:lstStyle/>
        <a:p>
          <a:endParaRPr lang="en-US"/>
        </a:p>
      </dgm:t>
    </dgm:pt>
    <dgm:pt modelId="{239BFA03-A97A-400D-857B-B1A5F498822D}" type="pres">
      <dgm:prSet presAssocID="{CF2564C4-F404-4CE7-9FAD-9EA59FE9C044}" presName="connectorText" presStyleLbl="sibTrans1D1" presStyleIdx="1" presStyleCnt="6"/>
      <dgm:spPr/>
      <dgm:t>
        <a:bodyPr/>
        <a:lstStyle/>
        <a:p>
          <a:endParaRPr lang="en-US"/>
        </a:p>
      </dgm:t>
    </dgm:pt>
    <dgm:pt modelId="{479AF161-8A44-4094-9B2F-FBED23DEEE05}" type="pres">
      <dgm:prSet presAssocID="{328EE0F1-EE2A-4446-AA98-6D82CA296CD7}" presName="node" presStyleLbl="node1" presStyleIdx="2" presStyleCnt="7">
        <dgm:presLayoutVars>
          <dgm:bulletEnabled val="1"/>
        </dgm:presLayoutVars>
      </dgm:prSet>
      <dgm:spPr>
        <a:prstGeom prst="rect">
          <a:avLst/>
        </a:prstGeom>
      </dgm:spPr>
      <dgm:t>
        <a:bodyPr/>
        <a:lstStyle/>
        <a:p>
          <a:endParaRPr lang="en-US"/>
        </a:p>
      </dgm:t>
    </dgm:pt>
    <dgm:pt modelId="{EFFC90F5-51DC-422A-87F5-59BEC7E217BD}" type="pres">
      <dgm:prSet presAssocID="{312DF197-20E0-4C66-AA53-D92E4C911C3F}" presName="sibTrans" presStyleLbl="sibTrans1D1" presStyleIdx="2" presStyleCnt="6"/>
      <dgm:spPr>
        <a:custGeom>
          <a:avLst/>
          <a:gdLst/>
          <a:ahLst/>
          <a:cxnLst/>
          <a:rect l="0" t="0" r="0" b="0"/>
          <a:pathLst>
            <a:path>
              <a:moveTo>
                <a:pt x="0" y="45720"/>
              </a:moveTo>
              <a:lnTo>
                <a:pt x="470752" y="45720"/>
              </a:lnTo>
            </a:path>
          </a:pathLst>
        </a:custGeom>
      </dgm:spPr>
      <dgm:t>
        <a:bodyPr/>
        <a:lstStyle/>
        <a:p>
          <a:endParaRPr lang="en-US"/>
        </a:p>
      </dgm:t>
    </dgm:pt>
    <dgm:pt modelId="{6BBA2AB3-B632-4178-BDCA-6175969939E5}" type="pres">
      <dgm:prSet presAssocID="{312DF197-20E0-4C66-AA53-D92E4C911C3F}" presName="connectorText" presStyleLbl="sibTrans1D1" presStyleIdx="2" presStyleCnt="6"/>
      <dgm:spPr/>
      <dgm:t>
        <a:bodyPr/>
        <a:lstStyle/>
        <a:p>
          <a:endParaRPr lang="en-US"/>
        </a:p>
      </dgm:t>
    </dgm:pt>
    <dgm:pt modelId="{925EA966-79C1-4B36-B591-05DA72907BBE}" type="pres">
      <dgm:prSet presAssocID="{8D268B6F-FF32-4455-8F83-5AA3F5E87B9D}" presName="node" presStyleLbl="node1" presStyleIdx="3" presStyleCnt="7">
        <dgm:presLayoutVars>
          <dgm:bulletEnabled val="1"/>
        </dgm:presLayoutVars>
      </dgm:prSet>
      <dgm:spPr>
        <a:prstGeom prst="rect">
          <a:avLst/>
        </a:prstGeom>
      </dgm:spPr>
      <dgm:t>
        <a:bodyPr/>
        <a:lstStyle/>
        <a:p>
          <a:endParaRPr lang="en-US"/>
        </a:p>
      </dgm:t>
    </dgm:pt>
    <dgm:pt modelId="{CDC93F90-5671-47DE-9E13-D084CCC25F65}" type="pres">
      <dgm:prSet presAssocID="{081016B2-87E4-40BA-8DF1-7FBFFC9C6166}" presName="sibTrans" presStyleLbl="sibTrans1D1" presStyleIdx="3" presStyleCnt="6"/>
      <dgm:spPr>
        <a:custGeom>
          <a:avLst/>
          <a:gdLst/>
          <a:ahLst/>
          <a:cxnLst/>
          <a:rect l="0" t="0" r="0" b="0"/>
          <a:pathLst>
            <a:path>
              <a:moveTo>
                <a:pt x="2681144" y="0"/>
              </a:moveTo>
              <a:lnTo>
                <a:pt x="2681144" y="253428"/>
              </a:lnTo>
              <a:lnTo>
                <a:pt x="0" y="253428"/>
              </a:lnTo>
              <a:lnTo>
                <a:pt x="0" y="472656"/>
              </a:lnTo>
            </a:path>
          </a:pathLst>
        </a:custGeom>
      </dgm:spPr>
      <dgm:t>
        <a:bodyPr/>
        <a:lstStyle/>
        <a:p>
          <a:endParaRPr lang="en-US"/>
        </a:p>
      </dgm:t>
    </dgm:pt>
    <dgm:pt modelId="{705FC8D8-24FB-451B-A42A-23673DC91226}" type="pres">
      <dgm:prSet presAssocID="{081016B2-87E4-40BA-8DF1-7FBFFC9C6166}" presName="connectorText" presStyleLbl="sibTrans1D1" presStyleIdx="3" presStyleCnt="6"/>
      <dgm:spPr/>
      <dgm:t>
        <a:bodyPr/>
        <a:lstStyle/>
        <a:p>
          <a:endParaRPr lang="en-US"/>
        </a:p>
      </dgm:t>
    </dgm:pt>
    <dgm:pt modelId="{3AB9CD74-764D-416F-A340-605F5DE00423}" type="pres">
      <dgm:prSet presAssocID="{A2195BD0-F1D6-45E1-9026-F2FE1404E4B4}" presName="node" presStyleLbl="node1" presStyleIdx="4" presStyleCnt="7" custLinFactNeighborX="393" custLinFactNeighborY="16065">
        <dgm:presLayoutVars>
          <dgm:bulletEnabled val="1"/>
        </dgm:presLayoutVars>
      </dgm:prSet>
      <dgm:spPr>
        <a:prstGeom prst="rect">
          <a:avLst/>
        </a:prstGeom>
      </dgm:spPr>
      <dgm:t>
        <a:bodyPr/>
        <a:lstStyle/>
        <a:p>
          <a:endParaRPr lang="en-US"/>
        </a:p>
      </dgm:t>
    </dgm:pt>
    <dgm:pt modelId="{37691745-B958-4FBC-91BD-2DFC5C98CA7C}" type="pres">
      <dgm:prSet presAssocID="{9EB50F15-5A8B-4616-856C-CA370F76B4E2}" presName="sibTrans" presStyleLbl="sibTrans1D1" presStyleIdx="4" presStyleCnt="6"/>
      <dgm:spPr>
        <a:custGeom>
          <a:avLst/>
          <a:gdLst/>
          <a:ahLst/>
          <a:cxnLst/>
          <a:rect l="0" t="0" r="0" b="0"/>
          <a:pathLst>
            <a:path>
              <a:moveTo>
                <a:pt x="0" y="45720"/>
              </a:moveTo>
              <a:lnTo>
                <a:pt x="470752" y="45720"/>
              </a:lnTo>
            </a:path>
          </a:pathLst>
        </a:custGeom>
      </dgm:spPr>
      <dgm:t>
        <a:bodyPr/>
        <a:lstStyle/>
        <a:p>
          <a:endParaRPr lang="en-US"/>
        </a:p>
      </dgm:t>
    </dgm:pt>
    <dgm:pt modelId="{E3A900A2-9357-49D6-80B5-916FFEAB729E}" type="pres">
      <dgm:prSet presAssocID="{9EB50F15-5A8B-4616-856C-CA370F76B4E2}" presName="connectorText" presStyleLbl="sibTrans1D1" presStyleIdx="4" presStyleCnt="6"/>
      <dgm:spPr/>
      <dgm:t>
        <a:bodyPr/>
        <a:lstStyle/>
        <a:p>
          <a:endParaRPr lang="en-US"/>
        </a:p>
      </dgm:t>
    </dgm:pt>
    <dgm:pt modelId="{7AB55B1E-53C7-47C9-9DE5-DBA547637E71}" type="pres">
      <dgm:prSet presAssocID="{3A4C1F5D-EFD6-48A3-B220-8C0BEAC00893}" presName="node" presStyleLbl="node1" presStyleIdx="5" presStyleCnt="7" custLinFactNeighborY="18688">
        <dgm:presLayoutVars>
          <dgm:bulletEnabled val="1"/>
        </dgm:presLayoutVars>
      </dgm:prSet>
      <dgm:spPr>
        <a:prstGeom prst="rect">
          <a:avLst/>
        </a:prstGeom>
      </dgm:spPr>
      <dgm:t>
        <a:bodyPr/>
        <a:lstStyle/>
        <a:p>
          <a:endParaRPr lang="en-US"/>
        </a:p>
      </dgm:t>
    </dgm:pt>
    <dgm:pt modelId="{EFB5533D-7272-4EEA-BD39-EDFB1AC245C7}" type="pres">
      <dgm:prSet presAssocID="{000C69B2-E6FD-4C9D-8A16-C0DFD8A2B994}" presName="sibTrans" presStyleLbl="sibTrans1D1" presStyleIdx="5" presStyleCnt="6"/>
      <dgm:spPr/>
      <dgm:t>
        <a:bodyPr/>
        <a:lstStyle/>
        <a:p>
          <a:endParaRPr lang="en-US"/>
        </a:p>
      </dgm:t>
    </dgm:pt>
    <dgm:pt modelId="{720F12BA-6E11-4562-A703-863D824546EA}" type="pres">
      <dgm:prSet presAssocID="{000C69B2-E6FD-4C9D-8A16-C0DFD8A2B994}" presName="connectorText" presStyleLbl="sibTrans1D1" presStyleIdx="5" presStyleCnt="6"/>
      <dgm:spPr/>
      <dgm:t>
        <a:bodyPr/>
        <a:lstStyle/>
        <a:p>
          <a:endParaRPr lang="en-US"/>
        </a:p>
      </dgm:t>
    </dgm:pt>
    <dgm:pt modelId="{995C4355-A1F9-4292-AB3E-0720A06385A3}" type="pres">
      <dgm:prSet presAssocID="{361AFF4E-1E4A-4620-ADD0-4FF6CB9A3A01}" presName="node" presStyleLbl="node1" presStyleIdx="6" presStyleCnt="7" custLinFactNeighborX="59016" custLinFactNeighborY="13599">
        <dgm:presLayoutVars>
          <dgm:bulletEnabled val="1"/>
        </dgm:presLayoutVars>
      </dgm:prSet>
      <dgm:spPr>
        <a:prstGeom prst="rect">
          <a:avLst/>
        </a:prstGeom>
      </dgm:spPr>
      <dgm:t>
        <a:bodyPr/>
        <a:lstStyle/>
        <a:p>
          <a:endParaRPr lang="en-US"/>
        </a:p>
      </dgm:t>
    </dgm:pt>
  </dgm:ptLst>
  <dgm:cxnLst>
    <dgm:cxn modelId="{29A8223C-B38D-45D8-ADDF-534B1156D138}" srcId="{01F621CE-3889-469F-9F75-302EC2048410}" destId="{8D268B6F-FF32-4455-8F83-5AA3F5E87B9D}" srcOrd="3" destOrd="0" parTransId="{A7B167F6-542C-4165-8477-8E8AAA464485}" sibTransId="{081016B2-87E4-40BA-8DF1-7FBFFC9C6166}"/>
    <dgm:cxn modelId="{3918FBAF-BFFB-48C4-A3A6-1C9F7B0BFAB5}" type="presOf" srcId="{CF2564C4-F404-4CE7-9FAD-9EA59FE9C044}" destId="{E752D84E-6BF5-4CEA-94D7-93AE3320C5D6}" srcOrd="0" destOrd="0" presId="urn:microsoft.com/office/officeart/2005/8/layout/bProcess3"/>
    <dgm:cxn modelId="{CF13C27A-4C5C-483C-8965-81FC8398BFAA}" type="presOf" srcId="{3A4C1F5D-EFD6-48A3-B220-8C0BEAC00893}" destId="{7AB55B1E-53C7-47C9-9DE5-DBA547637E71}" srcOrd="0" destOrd="0" presId="urn:microsoft.com/office/officeart/2005/8/layout/bProcess3"/>
    <dgm:cxn modelId="{A72BC87D-FDB4-4052-B151-0E8C7ECA5F5D}" srcId="{01F621CE-3889-469F-9F75-302EC2048410}" destId="{A2195BD0-F1D6-45E1-9026-F2FE1404E4B4}" srcOrd="4" destOrd="0" parTransId="{F4BD99DE-C7FD-4E15-9031-F24CC01E82AC}" sibTransId="{9EB50F15-5A8B-4616-856C-CA370F76B4E2}"/>
    <dgm:cxn modelId="{C0CC8DA2-DEAF-4012-8DB7-7BD36B85E02A}" type="presOf" srcId="{361AFF4E-1E4A-4620-ADD0-4FF6CB9A3A01}" destId="{995C4355-A1F9-4292-AB3E-0720A06385A3}" srcOrd="0" destOrd="0" presId="urn:microsoft.com/office/officeart/2005/8/layout/bProcess3"/>
    <dgm:cxn modelId="{078E029F-6B1B-4EB4-9DF1-E8CB707AF5A6}" srcId="{01F621CE-3889-469F-9F75-302EC2048410}" destId="{8C1835A1-555F-433F-B903-A3A30306FDE6}" srcOrd="0" destOrd="0" parTransId="{0F04F34F-2DA4-46C4-9B4D-222F7065E1B0}" sibTransId="{C1380013-3EC3-4A0F-B8D5-8EB732A29EF1}"/>
    <dgm:cxn modelId="{9A5B6CDD-DBE6-4931-8A86-C1B4CA2AC0F8}" type="presOf" srcId="{8D268B6F-FF32-4455-8F83-5AA3F5E87B9D}" destId="{925EA966-79C1-4B36-B591-05DA72907BBE}" srcOrd="0" destOrd="0" presId="urn:microsoft.com/office/officeart/2005/8/layout/bProcess3"/>
    <dgm:cxn modelId="{22653B63-105F-4DB7-8257-015AF22C5BA1}" type="presOf" srcId="{081016B2-87E4-40BA-8DF1-7FBFFC9C6166}" destId="{CDC93F90-5671-47DE-9E13-D084CCC25F65}" srcOrd="0" destOrd="0" presId="urn:microsoft.com/office/officeart/2005/8/layout/bProcess3"/>
    <dgm:cxn modelId="{5AADAAB1-2AA0-4C0D-8BF9-1D00A859FCF4}" type="presOf" srcId="{000C69B2-E6FD-4C9D-8A16-C0DFD8A2B994}" destId="{EFB5533D-7272-4EEA-BD39-EDFB1AC245C7}" srcOrd="0" destOrd="0" presId="urn:microsoft.com/office/officeart/2005/8/layout/bProcess3"/>
    <dgm:cxn modelId="{BD57215B-8B1B-4FCA-B1B4-84463527D195}" type="presOf" srcId="{A2195BD0-F1D6-45E1-9026-F2FE1404E4B4}" destId="{3AB9CD74-764D-416F-A340-605F5DE00423}" srcOrd="0" destOrd="0" presId="urn:microsoft.com/office/officeart/2005/8/layout/bProcess3"/>
    <dgm:cxn modelId="{463FC179-FFE9-49F3-BE2C-773FC44667E1}" type="presOf" srcId="{8C1835A1-555F-433F-B903-A3A30306FDE6}" destId="{1389DE50-60E8-4B85-BE1A-DAE44CD8EF7D}" srcOrd="0" destOrd="0" presId="urn:microsoft.com/office/officeart/2005/8/layout/bProcess3"/>
    <dgm:cxn modelId="{C087DE66-340E-4A66-A59F-C12EF5E5D240}" srcId="{01F621CE-3889-469F-9F75-302EC2048410}" destId="{361AFF4E-1E4A-4620-ADD0-4FF6CB9A3A01}" srcOrd="6" destOrd="0" parTransId="{6F207CDC-CED5-4A2B-BFD9-451DE19726FD}" sibTransId="{B6C4BCD8-BEA4-4C7D-865B-738C4F9BFD4D}"/>
    <dgm:cxn modelId="{BDD5C228-BB20-48A1-9E1A-AB658D2F1DC3}" type="presOf" srcId="{328EE0F1-EE2A-4446-AA98-6D82CA296CD7}" destId="{479AF161-8A44-4094-9B2F-FBED23DEEE05}" srcOrd="0" destOrd="0" presId="urn:microsoft.com/office/officeart/2005/8/layout/bProcess3"/>
    <dgm:cxn modelId="{966250EE-ABFB-4863-83B4-9C99B1AC89A1}" type="presOf" srcId="{081016B2-87E4-40BA-8DF1-7FBFFC9C6166}" destId="{705FC8D8-24FB-451B-A42A-23673DC91226}" srcOrd="1" destOrd="0" presId="urn:microsoft.com/office/officeart/2005/8/layout/bProcess3"/>
    <dgm:cxn modelId="{C1754CCD-9D85-4B80-BDBB-0B6D8CF846F2}" type="presOf" srcId="{01F621CE-3889-469F-9F75-302EC2048410}" destId="{B5013DE0-865F-4F02-AAB6-338079DEE894}" srcOrd="0" destOrd="0" presId="urn:microsoft.com/office/officeart/2005/8/layout/bProcess3"/>
    <dgm:cxn modelId="{D4529EE4-AB71-4A2B-B1F9-1203080BCE9D}" srcId="{01F621CE-3889-469F-9F75-302EC2048410}" destId="{9BD6DB6B-09D5-4DED-81BF-F7A2A4A20F96}" srcOrd="1" destOrd="0" parTransId="{0F67C77A-0A59-43FE-987E-C968DA2BFD8E}" sibTransId="{CF2564C4-F404-4CE7-9FAD-9EA59FE9C044}"/>
    <dgm:cxn modelId="{EF06B56D-8088-46AA-82E0-2E673D2A6110}" type="presOf" srcId="{CF2564C4-F404-4CE7-9FAD-9EA59FE9C044}" destId="{239BFA03-A97A-400D-857B-B1A5F498822D}" srcOrd="1" destOrd="0" presId="urn:microsoft.com/office/officeart/2005/8/layout/bProcess3"/>
    <dgm:cxn modelId="{115A5B84-1674-4775-B67B-41E7274D3777}" type="presOf" srcId="{9EB50F15-5A8B-4616-856C-CA370F76B4E2}" destId="{37691745-B958-4FBC-91BD-2DFC5C98CA7C}" srcOrd="0" destOrd="0" presId="urn:microsoft.com/office/officeart/2005/8/layout/bProcess3"/>
    <dgm:cxn modelId="{0E1ED354-1D5D-49D5-9AF1-975BBFE07963}" type="presOf" srcId="{312DF197-20E0-4C66-AA53-D92E4C911C3F}" destId="{6BBA2AB3-B632-4178-BDCA-6175969939E5}" srcOrd="1" destOrd="0" presId="urn:microsoft.com/office/officeart/2005/8/layout/bProcess3"/>
    <dgm:cxn modelId="{392C12A7-9AF6-479C-84D3-C7DA559F84D6}" type="presOf" srcId="{C1380013-3EC3-4A0F-B8D5-8EB732A29EF1}" destId="{2A59011F-0AF5-4D20-95C5-0F3D039FC755}" srcOrd="0" destOrd="0" presId="urn:microsoft.com/office/officeart/2005/8/layout/bProcess3"/>
    <dgm:cxn modelId="{406BF995-1E44-4EAF-9D67-40F2188B1350}" type="presOf" srcId="{312DF197-20E0-4C66-AA53-D92E4C911C3F}" destId="{EFFC90F5-51DC-422A-87F5-59BEC7E217BD}" srcOrd="0" destOrd="0" presId="urn:microsoft.com/office/officeart/2005/8/layout/bProcess3"/>
    <dgm:cxn modelId="{13CCD073-ADD3-45ED-8E97-7882231F5BEA}" type="presOf" srcId="{9EB50F15-5A8B-4616-856C-CA370F76B4E2}" destId="{E3A900A2-9357-49D6-80B5-916FFEAB729E}" srcOrd="1" destOrd="0" presId="urn:microsoft.com/office/officeart/2005/8/layout/bProcess3"/>
    <dgm:cxn modelId="{399891D0-2720-4B46-A9E4-0C36BEA287E6}" type="presOf" srcId="{000C69B2-E6FD-4C9D-8A16-C0DFD8A2B994}" destId="{720F12BA-6E11-4562-A703-863D824546EA}" srcOrd="1" destOrd="0" presId="urn:microsoft.com/office/officeart/2005/8/layout/bProcess3"/>
    <dgm:cxn modelId="{E9EF779F-9CB1-4BC9-AC61-EECE5921E789}" type="presOf" srcId="{9BD6DB6B-09D5-4DED-81BF-F7A2A4A20F96}" destId="{08045D3A-E499-435F-9D1E-F15E4CBC5FB1}" srcOrd="0" destOrd="0" presId="urn:microsoft.com/office/officeart/2005/8/layout/bProcess3"/>
    <dgm:cxn modelId="{694E439D-EDDF-4BC7-B85D-4C547AA5BF2B}" srcId="{01F621CE-3889-469F-9F75-302EC2048410}" destId="{328EE0F1-EE2A-4446-AA98-6D82CA296CD7}" srcOrd="2" destOrd="0" parTransId="{C1E83631-1750-4BA6-ACF4-4664ADD97461}" sibTransId="{312DF197-20E0-4C66-AA53-D92E4C911C3F}"/>
    <dgm:cxn modelId="{98541AF4-C660-4660-84DC-4AA841843D72}" type="presOf" srcId="{C1380013-3EC3-4A0F-B8D5-8EB732A29EF1}" destId="{7C461E44-0698-47FD-BD7E-D70D7C44B4FD}" srcOrd="1" destOrd="0" presId="urn:microsoft.com/office/officeart/2005/8/layout/bProcess3"/>
    <dgm:cxn modelId="{04B60429-1FB3-4A88-8523-57EB98A39876}" srcId="{01F621CE-3889-469F-9F75-302EC2048410}" destId="{3A4C1F5D-EFD6-48A3-B220-8C0BEAC00893}" srcOrd="5" destOrd="0" parTransId="{90021848-4956-44C8-B2A4-732249673969}" sibTransId="{000C69B2-E6FD-4C9D-8A16-C0DFD8A2B994}"/>
    <dgm:cxn modelId="{CBC074DB-45B7-4B79-A815-5873F1EC1A46}" type="presParOf" srcId="{B5013DE0-865F-4F02-AAB6-338079DEE894}" destId="{1389DE50-60E8-4B85-BE1A-DAE44CD8EF7D}" srcOrd="0" destOrd="0" presId="urn:microsoft.com/office/officeart/2005/8/layout/bProcess3"/>
    <dgm:cxn modelId="{91035C54-B342-4F5C-95D7-BB382FB89529}" type="presParOf" srcId="{B5013DE0-865F-4F02-AAB6-338079DEE894}" destId="{2A59011F-0AF5-4D20-95C5-0F3D039FC755}" srcOrd="1" destOrd="0" presId="urn:microsoft.com/office/officeart/2005/8/layout/bProcess3"/>
    <dgm:cxn modelId="{F19ADC60-C9AA-4927-A8EF-8FBC324EB37B}" type="presParOf" srcId="{2A59011F-0AF5-4D20-95C5-0F3D039FC755}" destId="{7C461E44-0698-47FD-BD7E-D70D7C44B4FD}" srcOrd="0" destOrd="0" presId="urn:microsoft.com/office/officeart/2005/8/layout/bProcess3"/>
    <dgm:cxn modelId="{DA03B4A8-1CCF-497A-889C-606E1DA1C1B8}" type="presParOf" srcId="{B5013DE0-865F-4F02-AAB6-338079DEE894}" destId="{08045D3A-E499-435F-9D1E-F15E4CBC5FB1}" srcOrd="2" destOrd="0" presId="urn:microsoft.com/office/officeart/2005/8/layout/bProcess3"/>
    <dgm:cxn modelId="{E2B600EB-891E-4D3C-90AC-29542A796ABE}" type="presParOf" srcId="{B5013DE0-865F-4F02-AAB6-338079DEE894}" destId="{E752D84E-6BF5-4CEA-94D7-93AE3320C5D6}" srcOrd="3" destOrd="0" presId="urn:microsoft.com/office/officeart/2005/8/layout/bProcess3"/>
    <dgm:cxn modelId="{2DFADC3F-E362-4583-8547-C655BDEA4EE7}" type="presParOf" srcId="{E752D84E-6BF5-4CEA-94D7-93AE3320C5D6}" destId="{239BFA03-A97A-400D-857B-B1A5F498822D}" srcOrd="0" destOrd="0" presId="urn:microsoft.com/office/officeart/2005/8/layout/bProcess3"/>
    <dgm:cxn modelId="{656CB577-FE09-4C1C-A28A-4AEB413A15D4}" type="presParOf" srcId="{B5013DE0-865F-4F02-AAB6-338079DEE894}" destId="{479AF161-8A44-4094-9B2F-FBED23DEEE05}" srcOrd="4" destOrd="0" presId="urn:microsoft.com/office/officeart/2005/8/layout/bProcess3"/>
    <dgm:cxn modelId="{0FD60F00-0AB5-4742-9147-6AD97BB85193}" type="presParOf" srcId="{B5013DE0-865F-4F02-AAB6-338079DEE894}" destId="{EFFC90F5-51DC-422A-87F5-59BEC7E217BD}" srcOrd="5" destOrd="0" presId="urn:microsoft.com/office/officeart/2005/8/layout/bProcess3"/>
    <dgm:cxn modelId="{8672FEC7-9260-447C-9BF0-174DEB6935EC}" type="presParOf" srcId="{EFFC90F5-51DC-422A-87F5-59BEC7E217BD}" destId="{6BBA2AB3-B632-4178-BDCA-6175969939E5}" srcOrd="0" destOrd="0" presId="urn:microsoft.com/office/officeart/2005/8/layout/bProcess3"/>
    <dgm:cxn modelId="{19CF1C0F-E3BF-4CAA-937F-43E8F7496129}" type="presParOf" srcId="{B5013DE0-865F-4F02-AAB6-338079DEE894}" destId="{925EA966-79C1-4B36-B591-05DA72907BBE}" srcOrd="6" destOrd="0" presId="urn:microsoft.com/office/officeart/2005/8/layout/bProcess3"/>
    <dgm:cxn modelId="{EC9E60D5-FC6A-4CBB-924E-E9C1D8478BF2}" type="presParOf" srcId="{B5013DE0-865F-4F02-AAB6-338079DEE894}" destId="{CDC93F90-5671-47DE-9E13-D084CCC25F65}" srcOrd="7" destOrd="0" presId="urn:microsoft.com/office/officeart/2005/8/layout/bProcess3"/>
    <dgm:cxn modelId="{17C39C83-866A-4672-9495-5E8B118E2A1D}" type="presParOf" srcId="{CDC93F90-5671-47DE-9E13-D084CCC25F65}" destId="{705FC8D8-24FB-451B-A42A-23673DC91226}" srcOrd="0" destOrd="0" presId="urn:microsoft.com/office/officeart/2005/8/layout/bProcess3"/>
    <dgm:cxn modelId="{30608DDE-7AFB-417E-A25B-1F5B5054A89C}" type="presParOf" srcId="{B5013DE0-865F-4F02-AAB6-338079DEE894}" destId="{3AB9CD74-764D-416F-A340-605F5DE00423}" srcOrd="8" destOrd="0" presId="urn:microsoft.com/office/officeart/2005/8/layout/bProcess3"/>
    <dgm:cxn modelId="{110B3769-2FF5-40C8-901E-69361BB38921}" type="presParOf" srcId="{B5013DE0-865F-4F02-AAB6-338079DEE894}" destId="{37691745-B958-4FBC-91BD-2DFC5C98CA7C}" srcOrd="9" destOrd="0" presId="urn:microsoft.com/office/officeart/2005/8/layout/bProcess3"/>
    <dgm:cxn modelId="{DF5D0AA6-D02B-456D-B8BC-034B34DC0161}" type="presParOf" srcId="{37691745-B958-4FBC-91BD-2DFC5C98CA7C}" destId="{E3A900A2-9357-49D6-80B5-916FFEAB729E}" srcOrd="0" destOrd="0" presId="urn:microsoft.com/office/officeart/2005/8/layout/bProcess3"/>
    <dgm:cxn modelId="{562B5A6A-F06F-4DE7-8BEA-686B4EA7A084}" type="presParOf" srcId="{B5013DE0-865F-4F02-AAB6-338079DEE894}" destId="{7AB55B1E-53C7-47C9-9DE5-DBA547637E71}" srcOrd="10" destOrd="0" presId="urn:microsoft.com/office/officeart/2005/8/layout/bProcess3"/>
    <dgm:cxn modelId="{9DC953D5-B495-44C3-8210-BE1F41239707}" type="presParOf" srcId="{B5013DE0-865F-4F02-AAB6-338079DEE894}" destId="{EFB5533D-7272-4EEA-BD39-EDFB1AC245C7}" srcOrd="11" destOrd="0" presId="urn:microsoft.com/office/officeart/2005/8/layout/bProcess3"/>
    <dgm:cxn modelId="{F20152E3-25CA-43DB-AF55-ECD5A8E40C6C}" type="presParOf" srcId="{EFB5533D-7272-4EEA-BD39-EDFB1AC245C7}" destId="{720F12BA-6E11-4562-A703-863D824546EA}" srcOrd="0" destOrd="0" presId="urn:microsoft.com/office/officeart/2005/8/layout/bProcess3"/>
    <dgm:cxn modelId="{AF3CB2F8-DD3F-466D-8FD1-62D8A1C8D5EF}" type="presParOf" srcId="{B5013DE0-865F-4F02-AAB6-338079DEE894}" destId="{995C4355-A1F9-4292-AB3E-0720A06385A3}" srcOrd="12" destOrd="0" presId="urn:microsoft.com/office/officeart/2005/8/layout/bProcess3"/>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A59011F-0AF5-4D20-95C5-0F3D039FC755}">
      <dsp:nvSpPr>
        <dsp:cNvPr id="0" name=""/>
        <dsp:cNvSpPr/>
      </dsp:nvSpPr>
      <dsp:spPr>
        <a:xfrm>
          <a:off x="2505844" y="451926"/>
          <a:ext cx="349954" cy="91440"/>
        </a:xfrm>
        <a:custGeom>
          <a:avLst/>
          <a:gdLst/>
          <a:ahLst/>
          <a:cxnLst/>
          <a:rect l="0" t="0" r="0" b="0"/>
          <a:pathLst>
            <a:path>
              <a:moveTo>
                <a:pt x="0" y="45720"/>
              </a:moveTo>
              <a:lnTo>
                <a:pt x="470752" y="45720"/>
              </a:lnTo>
            </a:path>
          </a:pathLst>
        </a:custGeom>
        <a:noFill/>
        <a:ln w="9525" cap="flat" cmpd="sng" algn="ctr">
          <a:solidFill>
            <a:sysClr val="windowText" lastClr="000000">
              <a:hueOff val="0"/>
              <a:satOff val="0"/>
              <a:lumOff val="0"/>
              <a:alphaOff val="0"/>
            </a:sys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just" defTabSz="444500">
            <a:lnSpc>
              <a:spcPct val="90000"/>
            </a:lnSpc>
            <a:spcBef>
              <a:spcPct val="0"/>
            </a:spcBef>
            <a:spcAft>
              <a:spcPct val="35000"/>
            </a:spcAft>
            <a:buNone/>
          </a:pPr>
          <a:endParaRPr lang="es-PE" sz="1000" kern="1200">
            <a:solidFill>
              <a:sysClr val="windowText" lastClr="000000"/>
            </a:solidFill>
            <a:latin typeface="Times New Roman" panose="02020603050405020304" pitchFamily="18" charset="0"/>
            <a:ea typeface="+mn-ea"/>
            <a:cs typeface="Times New Roman" panose="02020603050405020304" pitchFamily="18" charset="0"/>
          </a:endParaRPr>
        </a:p>
      </dsp:txBody>
      <dsp:txXfrm>
        <a:off x="2671307" y="495743"/>
        <a:ext cx="0" cy="0"/>
      </dsp:txXfrm>
    </dsp:sp>
    <dsp:sp modelId="{1389DE50-60E8-4B85-BE1A-DAE44CD8EF7D}">
      <dsp:nvSpPr>
        <dsp:cNvPr id="0" name=""/>
        <dsp:cNvSpPr/>
      </dsp:nvSpPr>
      <dsp:spPr>
        <a:xfrm>
          <a:off x="853059" y="1270"/>
          <a:ext cx="1654584" cy="992750"/>
        </a:xfrm>
        <a:prstGeom prst="rect">
          <a:avLst/>
        </a:prstGeom>
        <a:solidFill>
          <a:sysClr val="window" lastClr="FFFFFF">
            <a:hueOff val="0"/>
            <a:satOff val="0"/>
            <a:lumOff val="0"/>
            <a:alphaOff val="0"/>
          </a:sysClr>
        </a:solidFill>
        <a:ln w="9525"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just" defTabSz="444500">
            <a:lnSpc>
              <a:spcPct val="90000"/>
            </a:lnSpc>
            <a:spcBef>
              <a:spcPct val="0"/>
            </a:spcBef>
            <a:spcAft>
              <a:spcPct val="35000"/>
            </a:spcAft>
            <a:buNone/>
          </a:pPr>
          <a:r>
            <a:rPr lang="es-ES" sz="10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Registros identificados de Scopus: 1421</a:t>
          </a:r>
        </a:p>
        <a:p>
          <a:pPr lvl="0" algn="just" defTabSz="444500">
            <a:lnSpc>
              <a:spcPct val="90000"/>
            </a:lnSpc>
            <a:spcBef>
              <a:spcPct val="0"/>
            </a:spcBef>
            <a:spcAft>
              <a:spcPct val="35000"/>
            </a:spcAft>
            <a:buNone/>
          </a:pPr>
          <a:r>
            <a:rPr lang="es-ES" sz="10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Scielo: 192</a:t>
          </a:r>
        </a:p>
        <a:p>
          <a:pPr lvl="0" algn="just" defTabSz="444500">
            <a:lnSpc>
              <a:spcPct val="90000"/>
            </a:lnSpc>
            <a:spcBef>
              <a:spcPct val="0"/>
            </a:spcBef>
            <a:spcAft>
              <a:spcPct val="35000"/>
            </a:spcAft>
            <a:buNone/>
          </a:pPr>
          <a:r>
            <a:rPr lang="es-ES" sz="10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rPr>
            <a:t>(n=1613)</a:t>
          </a:r>
          <a:endParaRPr lang="es-PE" sz="1000" kern="1200">
            <a:solidFill>
              <a:sysClr val="windowText" lastClr="000000">
                <a:hueOff val="0"/>
                <a:satOff val="0"/>
                <a:lumOff val="0"/>
                <a:alphaOff val="0"/>
              </a:sysClr>
            </a:solidFill>
            <a:latin typeface="Arial" panose="020B0604020202020204" pitchFamily="34" charset="0"/>
            <a:ea typeface="+mn-ea"/>
            <a:cs typeface="Arial" panose="020B0604020202020204" pitchFamily="34" charset="0"/>
          </a:endParaRPr>
        </a:p>
      </dsp:txBody>
      <dsp:txXfrm>
        <a:off x="853059" y="1270"/>
        <a:ext cx="1654584" cy="992750"/>
      </dsp:txXfrm>
    </dsp:sp>
    <dsp:sp modelId="{E752D84E-6BF5-4CEA-94D7-93AE3320C5D6}">
      <dsp:nvSpPr>
        <dsp:cNvPr id="0" name=""/>
        <dsp:cNvSpPr/>
      </dsp:nvSpPr>
      <dsp:spPr>
        <a:xfrm>
          <a:off x="1680351" y="992221"/>
          <a:ext cx="2035139" cy="349954"/>
        </a:xfrm>
        <a:custGeom>
          <a:avLst/>
          <a:gdLst/>
          <a:ahLst/>
          <a:cxnLst/>
          <a:rect l="0" t="0" r="0" b="0"/>
          <a:pathLst>
            <a:path>
              <a:moveTo>
                <a:pt x="2681144" y="0"/>
              </a:moveTo>
              <a:lnTo>
                <a:pt x="2681144" y="252476"/>
              </a:lnTo>
              <a:lnTo>
                <a:pt x="0" y="252476"/>
              </a:lnTo>
              <a:lnTo>
                <a:pt x="0" y="470752"/>
              </a:lnTo>
            </a:path>
          </a:pathLst>
        </a:custGeom>
        <a:noFill/>
        <a:ln w="9525" cap="flat" cmpd="sng" algn="ctr">
          <a:solidFill>
            <a:sysClr val="windowText" lastClr="000000">
              <a:hueOff val="0"/>
              <a:satOff val="0"/>
              <a:lumOff val="0"/>
              <a:alphaOff val="0"/>
            </a:sys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just" defTabSz="444500">
            <a:lnSpc>
              <a:spcPct val="90000"/>
            </a:lnSpc>
            <a:spcBef>
              <a:spcPct val="0"/>
            </a:spcBef>
            <a:spcAft>
              <a:spcPct val="35000"/>
            </a:spcAft>
            <a:buNone/>
          </a:pPr>
          <a:endParaRPr lang="es-PE" sz="1000" kern="1200">
            <a:solidFill>
              <a:sysClr val="windowText" lastClr="000000"/>
            </a:solidFill>
            <a:latin typeface="Times New Roman" panose="02020603050405020304" pitchFamily="18" charset="0"/>
            <a:ea typeface="+mn-ea"/>
            <a:cs typeface="Times New Roman" panose="02020603050405020304" pitchFamily="18" charset="0"/>
          </a:endParaRPr>
        </a:p>
      </dsp:txBody>
      <dsp:txXfrm>
        <a:off x="2646161" y="1165295"/>
        <a:ext cx="0" cy="0"/>
      </dsp:txXfrm>
    </dsp:sp>
    <dsp:sp modelId="{08045D3A-E499-435F-9D1E-F15E4CBC5FB1}">
      <dsp:nvSpPr>
        <dsp:cNvPr id="0" name=""/>
        <dsp:cNvSpPr/>
      </dsp:nvSpPr>
      <dsp:spPr>
        <a:xfrm>
          <a:off x="2888198" y="1270"/>
          <a:ext cx="1654584" cy="992750"/>
        </a:xfrm>
        <a:prstGeom prst="rect">
          <a:avLst/>
        </a:prstGeom>
        <a:solidFill>
          <a:sysClr val="window" lastClr="FFFFFF">
            <a:hueOff val="0"/>
            <a:satOff val="0"/>
            <a:lumOff val="0"/>
            <a:alphaOff val="0"/>
          </a:sysClr>
        </a:solidFill>
        <a:ln w="9525"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just" defTabSz="444500">
            <a:lnSpc>
              <a:spcPct val="90000"/>
            </a:lnSpc>
            <a:spcBef>
              <a:spcPct val="0"/>
            </a:spcBef>
            <a:spcAft>
              <a:spcPct val="35000"/>
            </a:spcAft>
            <a:buNone/>
          </a:pPr>
          <a:r>
            <a:rPr lang="es-ES"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Artículos eliminados antes del cribado</a:t>
          </a:r>
        </a:p>
        <a:p>
          <a:pPr lvl="0" algn="just" defTabSz="444500">
            <a:lnSpc>
              <a:spcPct val="90000"/>
            </a:lnSpc>
            <a:spcBef>
              <a:spcPct val="0"/>
            </a:spcBef>
            <a:spcAft>
              <a:spcPct val="35000"/>
            </a:spcAft>
            <a:buNone/>
          </a:pPr>
          <a:r>
            <a:rPr lang="es-ES"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(n=1333)</a:t>
          </a:r>
          <a:endParaRPr lang="es-PE"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888198" y="1270"/>
        <a:ext cx="1654584" cy="992750"/>
      </dsp:txXfrm>
    </dsp:sp>
    <dsp:sp modelId="{EFFC90F5-51DC-422A-87F5-59BEC7E217BD}">
      <dsp:nvSpPr>
        <dsp:cNvPr id="0" name=""/>
        <dsp:cNvSpPr/>
      </dsp:nvSpPr>
      <dsp:spPr>
        <a:xfrm>
          <a:off x="2505844" y="1825231"/>
          <a:ext cx="349954" cy="91440"/>
        </a:xfrm>
        <a:custGeom>
          <a:avLst/>
          <a:gdLst/>
          <a:ahLst/>
          <a:cxnLst/>
          <a:rect l="0" t="0" r="0" b="0"/>
          <a:pathLst>
            <a:path>
              <a:moveTo>
                <a:pt x="0" y="45720"/>
              </a:moveTo>
              <a:lnTo>
                <a:pt x="470752" y="45720"/>
              </a:lnTo>
            </a:path>
          </a:pathLst>
        </a:custGeom>
        <a:noFill/>
        <a:ln w="9525" cap="flat" cmpd="sng" algn="ctr">
          <a:solidFill>
            <a:sysClr val="windowText" lastClr="000000">
              <a:hueOff val="0"/>
              <a:satOff val="0"/>
              <a:lumOff val="0"/>
              <a:alphaOff val="0"/>
            </a:sys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just" defTabSz="444500">
            <a:lnSpc>
              <a:spcPct val="90000"/>
            </a:lnSpc>
            <a:spcBef>
              <a:spcPct val="0"/>
            </a:spcBef>
            <a:spcAft>
              <a:spcPct val="35000"/>
            </a:spcAft>
            <a:buNone/>
          </a:pPr>
          <a:endParaRPr lang="es-PE" sz="1000" kern="1200">
            <a:solidFill>
              <a:sysClr val="windowText" lastClr="000000"/>
            </a:solidFill>
            <a:latin typeface="Times New Roman" panose="02020603050405020304" pitchFamily="18" charset="0"/>
            <a:ea typeface="+mn-ea"/>
            <a:cs typeface="Times New Roman" panose="02020603050405020304" pitchFamily="18" charset="0"/>
          </a:endParaRPr>
        </a:p>
      </dsp:txBody>
      <dsp:txXfrm>
        <a:off x="2671307" y="1869048"/>
        <a:ext cx="0" cy="0"/>
      </dsp:txXfrm>
    </dsp:sp>
    <dsp:sp modelId="{479AF161-8A44-4094-9B2F-FBED23DEEE05}">
      <dsp:nvSpPr>
        <dsp:cNvPr id="0" name=""/>
        <dsp:cNvSpPr/>
      </dsp:nvSpPr>
      <dsp:spPr>
        <a:xfrm>
          <a:off x="853059" y="1374575"/>
          <a:ext cx="1654584" cy="992750"/>
        </a:xfrm>
        <a:prstGeom prst="rect">
          <a:avLst/>
        </a:prstGeom>
        <a:solidFill>
          <a:sysClr val="window" lastClr="FFFFFF">
            <a:hueOff val="0"/>
            <a:satOff val="0"/>
            <a:lumOff val="0"/>
            <a:alphaOff val="0"/>
          </a:sysClr>
        </a:solidFill>
        <a:ln w="9525"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just" defTabSz="444500">
            <a:lnSpc>
              <a:spcPct val="90000"/>
            </a:lnSpc>
            <a:spcBef>
              <a:spcPct val="0"/>
            </a:spcBef>
            <a:spcAft>
              <a:spcPct val="35000"/>
            </a:spcAft>
            <a:buNone/>
          </a:pPr>
          <a:r>
            <a:rPr lang="es-ES"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Número de artículos eliminados por citas duplicadas (n=215)</a:t>
          </a:r>
          <a:endParaRPr lang="es-PE"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853059" y="1374575"/>
        <a:ext cx="1654584" cy="992750"/>
      </dsp:txXfrm>
    </dsp:sp>
    <dsp:sp modelId="{CDC93F90-5671-47DE-9E13-D084CCC25F65}">
      <dsp:nvSpPr>
        <dsp:cNvPr id="0" name=""/>
        <dsp:cNvSpPr/>
      </dsp:nvSpPr>
      <dsp:spPr>
        <a:xfrm>
          <a:off x="1686854" y="2365526"/>
          <a:ext cx="2028636" cy="509439"/>
        </a:xfrm>
        <a:custGeom>
          <a:avLst/>
          <a:gdLst/>
          <a:ahLst/>
          <a:cxnLst/>
          <a:rect l="0" t="0" r="0" b="0"/>
          <a:pathLst>
            <a:path>
              <a:moveTo>
                <a:pt x="2681144" y="0"/>
              </a:moveTo>
              <a:lnTo>
                <a:pt x="2681144" y="253428"/>
              </a:lnTo>
              <a:lnTo>
                <a:pt x="0" y="253428"/>
              </a:lnTo>
              <a:lnTo>
                <a:pt x="0" y="472656"/>
              </a:lnTo>
            </a:path>
          </a:pathLst>
        </a:custGeom>
        <a:noFill/>
        <a:ln w="9525" cap="flat" cmpd="sng" algn="ctr">
          <a:solidFill>
            <a:sysClr val="windowText" lastClr="000000">
              <a:hueOff val="0"/>
              <a:satOff val="0"/>
              <a:lumOff val="0"/>
              <a:alphaOff val="0"/>
            </a:sys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just" defTabSz="444500">
            <a:lnSpc>
              <a:spcPct val="90000"/>
            </a:lnSpc>
            <a:spcBef>
              <a:spcPct val="0"/>
            </a:spcBef>
            <a:spcAft>
              <a:spcPct val="35000"/>
            </a:spcAft>
            <a:buNone/>
          </a:pPr>
          <a:endParaRPr lang="es-PE" sz="1000" kern="1200">
            <a:solidFill>
              <a:sysClr val="windowText" lastClr="000000"/>
            </a:solidFill>
            <a:latin typeface="Times New Roman" panose="02020603050405020304" pitchFamily="18" charset="0"/>
            <a:ea typeface="+mn-ea"/>
            <a:cs typeface="Times New Roman" panose="02020603050405020304" pitchFamily="18" charset="0"/>
          </a:endParaRPr>
        </a:p>
      </dsp:txBody>
      <dsp:txXfrm>
        <a:off x="2648690" y="2618343"/>
        <a:ext cx="0" cy="0"/>
      </dsp:txXfrm>
    </dsp:sp>
    <dsp:sp modelId="{925EA966-79C1-4B36-B591-05DA72907BBE}">
      <dsp:nvSpPr>
        <dsp:cNvPr id="0" name=""/>
        <dsp:cNvSpPr/>
      </dsp:nvSpPr>
      <dsp:spPr>
        <a:xfrm>
          <a:off x="2888198" y="1374575"/>
          <a:ext cx="1654584" cy="992750"/>
        </a:xfrm>
        <a:prstGeom prst="rect">
          <a:avLst/>
        </a:prstGeom>
        <a:solidFill>
          <a:sysClr val="window" lastClr="FFFFFF">
            <a:hueOff val="0"/>
            <a:satOff val="0"/>
            <a:lumOff val="0"/>
            <a:alphaOff val="0"/>
          </a:sysClr>
        </a:solidFill>
        <a:ln w="9525"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just" defTabSz="444500">
            <a:lnSpc>
              <a:spcPct val="90000"/>
            </a:lnSpc>
            <a:spcBef>
              <a:spcPct val="0"/>
            </a:spcBef>
            <a:spcAft>
              <a:spcPct val="35000"/>
            </a:spcAft>
            <a:buNone/>
          </a:pPr>
          <a:r>
            <a:rPr lang="es-ES"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Registros cribados (n=65)</a:t>
          </a:r>
          <a:endParaRPr lang="es-PE"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2888198" y="1374575"/>
        <a:ext cx="1654584" cy="992750"/>
      </dsp:txXfrm>
    </dsp:sp>
    <dsp:sp modelId="{37691745-B958-4FBC-91BD-2DFC5C98CA7C}">
      <dsp:nvSpPr>
        <dsp:cNvPr id="0" name=""/>
        <dsp:cNvSpPr/>
      </dsp:nvSpPr>
      <dsp:spPr>
        <a:xfrm>
          <a:off x="2512346" y="3358022"/>
          <a:ext cx="343451" cy="91440"/>
        </a:xfrm>
        <a:custGeom>
          <a:avLst/>
          <a:gdLst/>
          <a:ahLst/>
          <a:cxnLst/>
          <a:rect l="0" t="0" r="0" b="0"/>
          <a:pathLst>
            <a:path>
              <a:moveTo>
                <a:pt x="0" y="45720"/>
              </a:moveTo>
              <a:lnTo>
                <a:pt x="470752" y="45720"/>
              </a:lnTo>
            </a:path>
          </a:pathLst>
        </a:custGeom>
        <a:noFill/>
        <a:ln w="9525" cap="flat" cmpd="sng" algn="ctr">
          <a:solidFill>
            <a:sysClr val="windowText" lastClr="000000">
              <a:hueOff val="0"/>
              <a:satOff val="0"/>
              <a:lumOff val="0"/>
              <a:alphaOff val="0"/>
            </a:sys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just" defTabSz="444500">
            <a:lnSpc>
              <a:spcPct val="90000"/>
            </a:lnSpc>
            <a:spcBef>
              <a:spcPct val="0"/>
            </a:spcBef>
            <a:spcAft>
              <a:spcPct val="35000"/>
            </a:spcAft>
            <a:buNone/>
          </a:pPr>
          <a:endParaRPr lang="es-PE" sz="1000" kern="1200">
            <a:solidFill>
              <a:sysClr val="windowText" lastClr="000000"/>
            </a:solidFill>
            <a:latin typeface="Times New Roman" panose="02020603050405020304" pitchFamily="18" charset="0"/>
            <a:ea typeface="+mn-ea"/>
            <a:cs typeface="Times New Roman" panose="02020603050405020304" pitchFamily="18" charset="0"/>
          </a:endParaRPr>
        </a:p>
      </dsp:txBody>
      <dsp:txXfrm>
        <a:off x="2674698" y="3401839"/>
        <a:ext cx="0" cy="0"/>
      </dsp:txXfrm>
    </dsp:sp>
    <dsp:sp modelId="{3AB9CD74-764D-416F-A340-605F5DE00423}">
      <dsp:nvSpPr>
        <dsp:cNvPr id="0" name=""/>
        <dsp:cNvSpPr/>
      </dsp:nvSpPr>
      <dsp:spPr>
        <a:xfrm>
          <a:off x="859562" y="2907366"/>
          <a:ext cx="1654584" cy="992750"/>
        </a:xfrm>
        <a:prstGeom prst="rect">
          <a:avLst/>
        </a:prstGeom>
        <a:solidFill>
          <a:sysClr val="window" lastClr="FFFFFF">
            <a:hueOff val="0"/>
            <a:satOff val="0"/>
            <a:lumOff val="0"/>
            <a:alphaOff val="0"/>
          </a:sysClr>
        </a:solidFill>
        <a:ln w="9525"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just" defTabSz="444500">
            <a:lnSpc>
              <a:spcPct val="90000"/>
            </a:lnSpc>
            <a:spcBef>
              <a:spcPct val="0"/>
            </a:spcBef>
            <a:spcAft>
              <a:spcPct val="35000"/>
            </a:spcAft>
            <a:buNone/>
          </a:pPr>
          <a:r>
            <a:rPr lang="es-ES"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Excluidos después de revisar por resúmenes  (n=39)</a:t>
          </a:r>
          <a:endParaRPr lang="es-PE" sz="10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859562" y="2907366"/>
        <a:ext cx="1654584" cy="992750"/>
      </dsp:txXfrm>
    </dsp:sp>
    <dsp:sp modelId="{EFB5533D-7272-4EEA-BD39-EDFB1AC245C7}">
      <dsp:nvSpPr>
        <dsp:cNvPr id="0" name=""/>
        <dsp:cNvSpPr/>
      </dsp:nvSpPr>
      <dsp:spPr>
        <a:xfrm>
          <a:off x="2656821" y="3924357"/>
          <a:ext cx="1058669" cy="165699"/>
        </a:xfrm>
        <a:custGeom>
          <a:avLst/>
          <a:gdLst/>
          <a:ahLst/>
          <a:cxnLst/>
          <a:rect l="0" t="0" r="0" b="0"/>
          <a:pathLst>
            <a:path>
              <a:moveTo>
                <a:pt x="1059688" y="0"/>
              </a:moveTo>
              <a:lnTo>
                <a:pt x="1059688" y="101123"/>
              </a:lnTo>
              <a:lnTo>
                <a:pt x="0" y="101123"/>
              </a:lnTo>
              <a:lnTo>
                <a:pt x="0" y="168047"/>
              </a:lnTo>
            </a:path>
          </a:pathLst>
        </a:custGeom>
        <a:noFill/>
        <a:ln w="9525" cap="flat" cmpd="sng" algn="ctr">
          <a:solidFill>
            <a:sysClr val="windowText" lastClr="000000">
              <a:hueOff val="0"/>
              <a:satOff val="0"/>
              <a:lumOff val="0"/>
              <a:alphaOff val="0"/>
            </a:sysClr>
          </a:solidFill>
          <a:prstDash val="solid"/>
          <a:miter lim="800000"/>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just" defTabSz="444500">
            <a:lnSpc>
              <a:spcPct val="90000"/>
            </a:lnSpc>
            <a:spcBef>
              <a:spcPct val="0"/>
            </a:spcBef>
            <a:spcAft>
              <a:spcPct val="35000"/>
            </a:spcAft>
            <a:buNone/>
          </a:pPr>
          <a:endParaRPr lang="es-PE" sz="1000" kern="1200">
            <a:solidFill>
              <a:sysClr val="windowText" lastClr="000000"/>
            </a:solidFill>
            <a:latin typeface="Times New Roman" panose="02020603050405020304" pitchFamily="18" charset="0"/>
            <a:ea typeface="+mn-ea"/>
            <a:cs typeface="Times New Roman" panose="02020603050405020304" pitchFamily="18" charset="0"/>
          </a:endParaRPr>
        </a:p>
      </dsp:txBody>
      <dsp:txXfrm>
        <a:off x="3159238" y="4005304"/>
        <a:ext cx="0" cy="0"/>
      </dsp:txXfrm>
    </dsp:sp>
    <dsp:sp modelId="{7AB55B1E-53C7-47C9-9DE5-DBA547637E71}">
      <dsp:nvSpPr>
        <dsp:cNvPr id="0" name=""/>
        <dsp:cNvSpPr/>
      </dsp:nvSpPr>
      <dsp:spPr>
        <a:xfrm>
          <a:off x="2888198" y="2933406"/>
          <a:ext cx="1654584" cy="992750"/>
        </a:xfrm>
        <a:prstGeom prst="rect">
          <a:avLst/>
        </a:prstGeom>
        <a:solidFill>
          <a:sysClr val="window" lastClr="FFFFFF">
            <a:hueOff val="0"/>
            <a:satOff val="0"/>
            <a:lumOff val="0"/>
            <a:alphaOff val="0"/>
          </a:sysClr>
        </a:solidFill>
        <a:ln w="9525"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just" defTabSz="444500">
            <a:lnSpc>
              <a:spcPct val="90000"/>
            </a:lnSpc>
            <a:spcBef>
              <a:spcPct val="0"/>
            </a:spcBef>
            <a:spcAft>
              <a:spcPct val="35000"/>
            </a:spcAft>
            <a:buNone/>
          </a:pPr>
          <a:r>
            <a:rPr lang="es-ES" sz="1000" kern="1200">
              <a:solidFill>
                <a:sysClr val="windowText" lastClr="000000">
                  <a:hueOff val="0"/>
                  <a:satOff val="0"/>
                  <a:lumOff val="0"/>
                  <a:alphaOff val="0"/>
                </a:sysClr>
              </a:solidFill>
              <a:latin typeface="Times New Roman" panose="02020603050405020304" pitchFamily="18" charset="0"/>
              <a:ea typeface="Times New Roman Uni" panose="02020603050405020304" pitchFamily="18" charset="-128"/>
              <a:cs typeface="Times New Roman" panose="02020603050405020304" pitchFamily="18" charset="0"/>
            </a:rPr>
            <a:t>Algunos artículos excluidos después de revisar (n=6)</a:t>
          </a:r>
          <a:endParaRPr lang="es-PE" sz="1000" kern="1200">
            <a:solidFill>
              <a:sysClr val="windowText" lastClr="000000">
                <a:hueOff val="0"/>
                <a:satOff val="0"/>
                <a:lumOff val="0"/>
                <a:alphaOff val="0"/>
              </a:sysClr>
            </a:solidFill>
            <a:latin typeface="Times New Roman" panose="02020603050405020304" pitchFamily="18" charset="0"/>
            <a:ea typeface="Times New Roman Uni" panose="02020603050405020304" pitchFamily="18" charset="-128"/>
            <a:cs typeface="Times New Roman" panose="02020603050405020304" pitchFamily="18" charset="0"/>
          </a:endParaRPr>
        </a:p>
      </dsp:txBody>
      <dsp:txXfrm>
        <a:off x="2888198" y="2933406"/>
        <a:ext cx="1654584" cy="992750"/>
      </dsp:txXfrm>
    </dsp:sp>
    <dsp:sp modelId="{995C4355-A1F9-4292-AB3E-0720A06385A3}">
      <dsp:nvSpPr>
        <dsp:cNvPr id="0" name=""/>
        <dsp:cNvSpPr/>
      </dsp:nvSpPr>
      <dsp:spPr>
        <a:xfrm>
          <a:off x="1829529" y="4122457"/>
          <a:ext cx="1654584" cy="992750"/>
        </a:xfrm>
        <a:prstGeom prst="rect">
          <a:avLst/>
        </a:prstGeom>
        <a:solidFill>
          <a:sysClr val="window" lastClr="FFFFFF">
            <a:hueOff val="0"/>
            <a:satOff val="0"/>
            <a:lumOff val="0"/>
            <a:alphaOff val="0"/>
          </a:sysClr>
        </a:solidFill>
        <a:ln w="9525" cap="flat" cmpd="sng" algn="ctr">
          <a:solidFill>
            <a:scrgbClr r="0" g="0" b="0"/>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just" defTabSz="444500">
            <a:lnSpc>
              <a:spcPct val="90000"/>
            </a:lnSpc>
            <a:spcBef>
              <a:spcPct val="0"/>
            </a:spcBef>
            <a:spcAft>
              <a:spcPct val="35000"/>
            </a:spcAft>
            <a:buNone/>
          </a:pPr>
          <a:r>
            <a:rPr lang="es-ES" sz="1000" kern="1200">
              <a:solidFill>
                <a:sysClr val="windowText" lastClr="000000">
                  <a:hueOff val="0"/>
                  <a:satOff val="0"/>
                  <a:lumOff val="0"/>
                  <a:alphaOff val="0"/>
                </a:sysClr>
              </a:solidFill>
              <a:latin typeface="Times New Roman" panose="02020603050405020304" pitchFamily="18" charset="0"/>
              <a:ea typeface="Times New Roman Uni" panose="02020603050405020304" pitchFamily="18" charset="-128"/>
              <a:cs typeface="Times New Roman" panose="02020603050405020304" pitchFamily="18" charset="0"/>
            </a:rPr>
            <a:t>Artículos incluidos para analizar (n= 20)</a:t>
          </a:r>
          <a:endParaRPr lang="es-PE" sz="1000" kern="1200">
            <a:solidFill>
              <a:sysClr val="windowText" lastClr="000000">
                <a:hueOff val="0"/>
                <a:satOff val="0"/>
                <a:lumOff val="0"/>
                <a:alphaOff val="0"/>
              </a:sysClr>
            </a:solidFill>
            <a:latin typeface="Times New Roman" panose="02020603050405020304" pitchFamily="18" charset="0"/>
            <a:ea typeface="Times New Roman Uni" panose="02020603050405020304" pitchFamily="18" charset="-128"/>
            <a:cs typeface="Times New Roman" panose="02020603050405020304" pitchFamily="18" charset="0"/>
          </a:endParaRPr>
        </a:p>
      </dsp:txBody>
      <dsp:txXfrm>
        <a:off x="1829529" y="4122457"/>
        <a:ext cx="1654584" cy="992750"/>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5595A-E8D8-45E1-B12B-AE0A93901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R.INVECOM VOL 6 NUM 1</Template>
  <TotalTime>137</TotalTime>
  <Pages>11</Pages>
  <Words>5806</Words>
  <Characters>33097</Characters>
  <Application>Microsoft Office Word</Application>
  <DocSecurity>0</DocSecurity>
  <Lines>275</Lines>
  <Paragraphs>77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38826</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2025-05-27T19:34:00Z</dcterms:created>
  <dcterms:modified xsi:type="dcterms:W3CDTF">2025-05-27T22:50:00Z</dcterms:modified>
</cp:coreProperties>
</file>